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A2BF6">
      <w:pPr>
        <w:spacing w:before="2000"/>
      </w:pPr>
    </w:p>
    <w:p w14:paraId="0C400CFF">
      <w:pPr>
        <w:spacing w:after="300"/>
        <w:jc w:val="center"/>
      </w:pPr>
      <w:r>
        <w:rPr>
          <w:rFonts w:hint="eastAsia" w:ascii="黑体" w:hAnsi="黑体" w:eastAsia="黑体" w:cs="黑体"/>
          <w:b/>
          <w:bCs/>
          <w:sz w:val="44"/>
          <w:szCs w:val="44"/>
          <w:u w:val="words"/>
          <w:lang w:val="en-US" w:eastAsia="zh-CN"/>
        </w:rPr>
        <w:t>宜昌市西陵区危旧房改造项目（西陵二路35号新华印刷厂地块及珍珠路39号嘉明花园地块）</w:t>
      </w:r>
      <w:r>
        <w:rPr>
          <w:rFonts w:ascii="黑体" w:hAnsi="黑体" w:eastAsia="黑体"/>
          <w:b/>
          <w:bCs/>
          <w:sz w:val="48"/>
          <w:szCs w:val="48"/>
        </w:rPr>
        <w:t>项目</w:t>
      </w:r>
    </w:p>
    <w:p w14:paraId="7FE41536">
      <w:pPr>
        <w:spacing w:after="400"/>
        <w:jc w:val="center"/>
      </w:pPr>
      <w:r>
        <w:rPr>
          <w:rFonts w:ascii="黑体" w:hAnsi="黑体" w:eastAsia="黑体"/>
          <w:b/>
          <w:bCs/>
          <w:sz w:val="48"/>
          <w:szCs w:val="48"/>
        </w:rPr>
        <w:t>玻璃门窗及栏板工程</w:t>
      </w:r>
    </w:p>
    <w:p w14:paraId="6771DB77">
      <w:pPr>
        <w:spacing w:after="1200"/>
        <w:jc w:val="center"/>
      </w:pPr>
      <w:r>
        <w:rPr>
          <w:rFonts w:ascii="黑体" w:hAnsi="黑体" w:eastAsia="黑体"/>
          <w:b/>
          <w:bCs/>
          <w:sz w:val="44"/>
          <w:szCs w:val="44"/>
        </w:rPr>
        <w:t>施工专业分包</w:t>
      </w:r>
    </w:p>
    <w:p w14:paraId="0CADB267">
      <w:pPr>
        <w:spacing w:after="200"/>
        <w:jc w:val="center"/>
      </w:pPr>
      <w:r>
        <w:rPr>
          <w:rFonts w:ascii="黑体" w:hAnsi="黑体" w:eastAsia="黑体"/>
          <w:b/>
          <w:bCs/>
          <w:sz w:val="88"/>
          <w:szCs w:val="88"/>
        </w:rPr>
        <w:t>招  标  文  件</w:t>
      </w:r>
    </w:p>
    <w:p w14:paraId="0B1B8CC5">
      <w:pPr>
        <w:spacing w:after="1600"/>
        <w:jc w:val="center"/>
      </w:pPr>
      <w:r>
        <w:rPr>
          <w:rFonts w:ascii="Times New Roman" w:hAnsi="Times New Roman" w:eastAsia="宋体"/>
          <w:sz w:val="28"/>
          <w:szCs w:val="28"/>
        </w:rPr>
        <w:t>（招标编号：ZB-2026-</w:t>
      </w:r>
      <w:r>
        <w:rPr>
          <w:rFonts w:hint="eastAsia"/>
          <w:sz w:val="28"/>
          <w:szCs w:val="28"/>
          <w:lang w:val="en-US" w:eastAsia="zh-CN"/>
        </w:rPr>
        <w:t>GC</w:t>
      </w:r>
      <w:r>
        <w:rPr>
          <w:rFonts w:ascii="Times New Roman" w:hAnsi="Times New Roman" w:eastAsia="宋体"/>
          <w:sz w:val="28"/>
          <w:szCs w:val="28"/>
        </w:rPr>
        <w:t>-</w:t>
      </w:r>
      <w:r>
        <w:rPr>
          <w:rFonts w:hint="eastAsia"/>
          <w:sz w:val="28"/>
          <w:szCs w:val="28"/>
          <w:lang w:val="en-US" w:eastAsia="zh-CN"/>
        </w:rPr>
        <w:t>004</w:t>
      </w:r>
      <w:r>
        <w:rPr>
          <w:rFonts w:ascii="Times New Roman" w:hAnsi="Times New Roman" w:eastAsia="宋体"/>
          <w:sz w:val="28"/>
          <w:szCs w:val="28"/>
        </w:rPr>
        <w:t>）</w:t>
      </w:r>
    </w:p>
    <w:tbl>
      <w:tblPr>
        <w:tblStyle w:val="11"/>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00"/>
        <w:gridCol w:w="5400"/>
      </w:tblGrid>
      <w:tr w14:paraId="5F2E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00" w:type="dxa"/>
            <w:tcBorders>
              <w:top w:val="single" w:color="999999" w:sz="4" w:space="0"/>
              <w:left w:val="single" w:color="999999" w:sz="4" w:space="0"/>
              <w:bottom w:val="single" w:color="999999" w:sz="4" w:space="0"/>
              <w:right w:val="single" w:color="999999" w:sz="4" w:space="0"/>
            </w:tcBorders>
            <w:shd w:val="clear" w:color="auto" w:fill="F2F2F2"/>
            <w:tcMar>
              <w:top w:w="60" w:type="dxa"/>
              <w:left w:w="100" w:type="dxa"/>
              <w:bottom w:w="60" w:type="dxa"/>
              <w:right w:w="100" w:type="dxa"/>
            </w:tcMar>
            <w:vAlign w:val="center"/>
          </w:tcPr>
          <w:p w14:paraId="346D6234">
            <w:pPr>
              <w:spacing w:line="280" w:lineRule="auto"/>
              <w:jc w:val="center"/>
            </w:pPr>
            <w:r>
              <w:rPr>
                <w:rFonts w:ascii="Times New Roman" w:hAnsi="Times New Roman" w:eastAsia="宋体"/>
                <w:b/>
                <w:bCs/>
                <w:sz w:val="18"/>
                <w:szCs w:val="18"/>
              </w:rPr>
              <w:t>招 标 人</w:t>
            </w:r>
          </w:p>
        </w:tc>
        <w:tc>
          <w:tcPr>
            <w:tcW w:w="5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27D8A9B">
            <w:pPr>
              <w:spacing w:line="280" w:lineRule="auto"/>
              <w:jc w:val="left"/>
            </w:pPr>
            <w:r>
              <w:rPr>
                <w:rFonts w:hint="eastAsia"/>
                <w:lang w:val="en-US" w:eastAsia="zh-CN"/>
              </w:rPr>
              <w:t>湖北省宏安房地产开发有限公司</w:t>
            </w:r>
          </w:p>
        </w:tc>
      </w:tr>
      <w:tr w14:paraId="6B77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999999" w:sz="4" w:space="0"/>
              <w:left w:val="single" w:color="999999" w:sz="4" w:space="0"/>
              <w:bottom w:val="single" w:color="999999" w:sz="4" w:space="0"/>
              <w:right w:val="single" w:color="999999" w:sz="4" w:space="0"/>
            </w:tcBorders>
            <w:shd w:val="clear" w:color="auto" w:fill="F2F2F2"/>
            <w:tcMar>
              <w:top w:w="60" w:type="dxa"/>
              <w:left w:w="100" w:type="dxa"/>
              <w:bottom w:w="60" w:type="dxa"/>
              <w:right w:w="100" w:type="dxa"/>
            </w:tcMar>
            <w:vAlign w:val="center"/>
          </w:tcPr>
          <w:p w14:paraId="2D895058">
            <w:pPr>
              <w:spacing w:line="280" w:lineRule="auto"/>
              <w:jc w:val="center"/>
            </w:pPr>
            <w:r>
              <w:rPr>
                <w:rFonts w:ascii="Times New Roman" w:hAnsi="Times New Roman" w:eastAsia="宋体"/>
                <w:b/>
                <w:bCs/>
                <w:sz w:val="18"/>
                <w:szCs w:val="18"/>
              </w:rPr>
              <w:t>招标代理机构</w:t>
            </w:r>
          </w:p>
        </w:tc>
        <w:tc>
          <w:tcPr>
            <w:tcW w:w="5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CB597F4">
            <w:pPr>
              <w:spacing w:line="280" w:lineRule="auto"/>
              <w:jc w:val="left"/>
              <w:rPr>
                <w:rFonts w:hint="default" w:eastAsia="宋体"/>
                <w:lang w:val="en-US" w:eastAsia="zh-CN"/>
              </w:rPr>
            </w:pPr>
            <w:r>
              <w:rPr>
                <w:rFonts w:hint="eastAsia"/>
                <w:lang w:val="en-US" w:eastAsia="zh-CN"/>
              </w:rPr>
              <w:t>本项目无</w:t>
            </w:r>
          </w:p>
        </w:tc>
      </w:tr>
      <w:tr w14:paraId="1EC6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999999" w:sz="4" w:space="0"/>
              <w:left w:val="single" w:color="999999" w:sz="4" w:space="0"/>
              <w:bottom w:val="single" w:color="999999" w:sz="4" w:space="0"/>
              <w:right w:val="single" w:color="999999" w:sz="4" w:space="0"/>
            </w:tcBorders>
            <w:shd w:val="clear" w:color="auto" w:fill="F2F2F2"/>
            <w:tcMar>
              <w:top w:w="60" w:type="dxa"/>
              <w:left w:w="100" w:type="dxa"/>
              <w:bottom w:w="60" w:type="dxa"/>
              <w:right w:w="100" w:type="dxa"/>
            </w:tcMar>
            <w:vAlign w:val="center"/>
          </w:tcPr>
          <w:p w14:paraId="77C41F75">
            <w:pPr>
              <w:spacing w:line="280" w:lineRule="auto"/>
              <w:jc w:val="center"/>
            </w:pPr>
            <w:r>
              <w:rPr>
                <w:rFonts w:ascii="Times New Roman" w:hAnsi="Times New Roman" w:eastAsia="宋体"/>
                <w:b/>
                <w:bCs/>
                <w:sz w:val="18"/>
                <w:szCs w:val="18"/>
              </w:rPr>
              <w:t>编 制 日 期</w:t>
            </w:r>
          </w:p>
        </w:tc>
        <w:tc>
          <w:tcPr>
            <w:tcW w:w="5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0EFD030">
            <w:pPr>
              <w:spacing w:line="280" w:lineRule="auto"/>
              <w:jc w:val="left"/>
            </w:pPr>
            <w:r>
              <w:rPr>
                <w:rFonts w:ascii="Times New Roman" w:hAnsi="Times New Roman" w:eastAsia="宋体"/>
                <w:b w:val="0"/>
                <w:bCs w:val="0"/>
                <w:sz w:val="18"/>
                <w:szCs w:val="18"/>
              </w:rPr>
              <w:t>2026年10月</w:t>
            </w:r>
          </w:p>
        </w:tc>
      </w:tr>
      <w:tr w14:paraId="0DF6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999999" w:sz="4" w:space="0"/>
              <w:left w:val="single" w:color="999999" w:sz="4" w:space="0"/>
              <w:bottom w:val="single" w:color="999999" w:sz="4" w:space="0"/>
              <w:right w:val="single" w:color="999999" w:sz="4" w:space="0"/>
            </w:tcBorders>
            <w:shd w:val="clear" w:color="auto" w:fill="F2F2F2"/>
            <w:tcMar>
              <w:top w:w="60" w:type="dxa"/>
              <w:left w:w="100" w:type="dxa"/>
              <w:bottom w:w="60" w:type="dxa"/>
              <w:right w:w="100" w:type="dxa"/>
            </w:tcMar>
            <w:vAlign w:val="center"/>
          </w:tcPr>
          <w:p w14:paraId="1B7213CF">
            <w:pPr>
              <w:spacing w:line="280" w:lineRule="auto"/>
              <w:jc w:val="center"/>
            </w:pPr>
            <w:r>
              <w:rPr>
                <w:rFonts w:ascii="Times New Roman" w:hAnsi="Times New Roman" w:eastAsia="宋体"/>
                <w:b/>
                <w:bCs/>
                <w:sz w:val="18"/>
                <w:szCs w:val="18"/>
              </w:rPr>
              <w:t>保 密 提 示</w:t>
            </w:r>
          </w:p>
        </w:tc>
        <w:tc>
          <w:tcPr>
            <w:tcW w:w="5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4DDC991">
            <w:pPr>
              <w:spacing w:line="280" w:lineRule="auto"/>
              <w:jc w:val="left"/>
            </w:pPr>
            <w:r>
              <w:rPr>
                <w:rFonts w:ascii="Times New Roman" w:hAnsi="Times New Roman" w:eastAsia="宋体"/>
                <w:b w:val="0"/>
                <w:bCs w:val="0"/>
                <w:sz w:val="18"/>
                <w:szCs w:val="18"/>
              </w:rPr>
              <w:t>本文件仅供受邀投标人投标使用，禁止复制外传</w:t>
            </w:r>
          </w:p>
        </w:tc>
      </w:tr>
    </w:tbl>
    <w:p w14:paraId="33D0EDC7">
      <w:r>
        <w:br w:type="page"/>
      </w:r>
    </w:p>
    <w:p w14:paraId="51A3FC4D">
      <w:pPr>
        <w:pStyle w:val="2"/>
        <w:pageBreakBefore/>
      </w:pPr>
      <w:r>
        <w:rPr>
          <w:rFonts w:ascii="黑体" w:hAnsi="黑体" w:eastAsia="黑体"/>
          <w:b/>
          <w:bCs/>
          <w:color w:val="000000"/>
          <w:sz w:val="32"/>
          <w:szCs w:val="32"/>
        </w:rPr>
        <w:t>第一章  投标邀请书</w:t>
      </w:r>
    </w:p>
    <w:p w14:paraId="18203E72">
      <w:pPr>
        <w:spacing w:after="80" w:line="300" w:lineRule="auto"/>
        <w:jc w:val="both"/>
      </w:pPr>
      <w:r>
        <w:rPr>
          <w:rFonts w:ascii="Times New Roman" w:hAnsi="Times New Roman" w:eastAsia="宋体"/>
          <w:sz w:val="21"/>
          <w:szCs w:val="21"/>
        </w:rPr>
        <w:t>（受邀单位名称）：</w:t>
      </w:r>
    </w:p>
    <w:p w14:paraId="2C2D8DF0">
      <w:pPr>
        <w:spacing w:after="80" w:line="300" w:lineRule="auto"/>
        <w:ind w:firstLine="420"/>
        <w:jc w:val="both"/>
        <w:rPr>
          <w:rFonts w:hint="eastAsia" w:ascii="Times New Roman" w:hAnsi="Times New Roman" w:eastAsia="宋体" w:cs="Times New Roman"/>
          <w:sz w:val="24"/>
          <w:szCs w:val="24"/>
          <w:lang w:val="zh-CN" w:eastAsia="zh-CN"/>
        </w:rPr>
      </w:pPr>
      <w:bookmarkStart w:id="7" w:name="_GoBack"/>
      <w:r>
        <w:rPr>
          <w:rFonts w:hint="eastAsia" w:ascii="Times New Roman" w:hAnsi="Times New Roman" w:eastAsia="宋体" w:cs="Times New Roman"/>
          <w:sz w:val="24"/>
          <w:szCs w:val="24"/>
          <w:lang w:val="zh-CN" w:eastAsia="zh-CN"/>
        </w:rPr>
        <w:t>本招标项目</w:t>
      </w:r>
      <w:r>
        <w:rPr>
          <w:rFonts w:hint="eastAsia" w:ascii="Times New Roman" w:hAnsi="Times New Roman" w:eastAsia="宋体" w:cs="Times New Roman"/>
          <w:sz w:val="24"/>
          <w:szCs w:val="24"/>
          <w:u w:val="words"/>
          <w:lang w:val="en-US" w:eastAsia="zh-CN"/>
        </w:rPr>
        <w:t>宜昌市西陵区危旧房改造项目（西陵二路35号新华印刷厂地块及珍珠路39号嘉明花园地块）</w:t>
      </w:r>
      <w:r>
        <w:rPr>
          <w:rFonts w:hint="eastAsia" w:ascii="Times New Roman" w:hAnsi="Times New Roman" w:eastAsia="宋体" w:cs="Times New Roman"/>
          <w:sz w:val="24"/>
          <w:szCs w:val="24"/>
          <w:lang w:val="zh-CN" w:eastAsia="zh-CN"/>
        </w:rPr>
        <w:t>”[登记备案项目代码：</w:t>
      </w:r>
      <w:r>
        <w:rPr>
          <w:rFonts w:hint="eastAsia" w:ascii="Times New Roman" w:hAnsi="Times New Roman" w:eastAsia="宋体" w:cs="Times New Roman"/>
          <w:sz w:val="24"/>
          <w:szCs w:val="24"/>
          <w:lang w:val="en-US" w:eastAsia="zh-CN"/>
        </w:rPr>
        <w:t>2607-420502-04-01-411017</w:t>
      </w:r>
      <w:r>
        <w:rPr>
          <w:rFonts w:hint="eastAsia" w:ascii="Times New Roman" w:hAnsi="Times New Roman" w:eastAsia="宋体" w:cs="Times New Roman"/>
          <w:sz w:val="24"/>
          <w:szCs w:val="24"/>
          <w:lang w:val="zh-CN" w:eastAsia="zh-CN"/>
        </w:rPr>
        <w:t>]批准建设，建设资金来源为企业自筹，项目出资比例为100%，招标人为</w:t>
      </w:r>
      <w:r>
        <w:rPr>
          <w:rFonts w:hint="eastAsia" w:ascii="Times New Roman" w:hAnsi="Times New Roman" w:eastAsia="宋体" w:cs="Times New Roman"/>
          <w:sz w:val="24"/>
          <w:szCs w:val="24"/>
          <w:u w:val="single"/>
          <w:lang w:val="zh-CN" w:eastAsia="zh-CN"/>
        </w:rPr>
        <w:t>湖北省宏安房地产开发有限公司</w:t>
      </w:r>
      <w:r>
        <w:rPr>
          <w:rFonts w:hint="eastAsia" w:ascii="Times New Roman" w:hAnsi="Times New Roman" w:eastAsia="宋体" w:cs="Times New Roman"/>
          <w:sz w:val="24"/>
          <w:szCs w:val="24"/>
          <w:lang w:val="zh-CN" w:eastAsia="zh-CN"/>
        </w:rPr>
        <w:t>，项目已具备招标条件，招标人现邀请贵单位参加本项目</w:t>
      </w:r>
      <w:r>
        <w:rPr>
          <w:rFonts w:hint="eastAsia" w:ascii="Times New Roman" w:hAnsi="Times New Roman" w:eastAsia="宋体" w:cs="Times New Roman"/>
          <w:sz w:val="24"/>
          <w:szCs w:val="24"/>
          <w:u w:val="words"/>
          <w:lang w:val="zh-CN" w:eastAsia="zh-CN"/>
        </w:rPr>
        <w:t>玻璃门窗及栏板</w:t>
      </w:r>
      <w:r>
        <w:rPr>
          <w:rFonts w:hint="eastAsia" w:ascii="Times New Roman" w:hAnsi="Times New Roman" w:eastAsia="宋体" w:cs="Times New Roman"/>
          <w:sz w:val="24"/>
          <w:szCs w:val="24"/>
          <w:lang w:val="zh-CN" w:eastAsia="zh-CN"/>
        </w:rPr>
        <w:t>工程施工专业分包投标。</w:t>
      </w:r>
    </w:p>
    <w:p w14:paraId="717A353A">
      <w:pPr>
        <w:pStyle w:val="3"/>
        <w:spacing w:before="200" w:after="120"/>
        <w:rPr>
          <w:rFonts w:hint="eastAsia" w:ascii="Times New Roman" w:hAnsi="Times New Roman" w:eastAsia="宋体" w:cs="Times New Roman"/>
          <w:sz w:val="24"/>
          <w:szCs w:val="24"/>
          <w:lang w:val="zh-CN" w:eastAsia="zh-CN"/>
        </w:rPr>
      </w:pPr>
      <w:bookmarkStart w:id="0" w:name="_Toc11392"/>
      <w:r>
        <w:rPr>
          <w:rFonts w:ascii="黑体" w:hAnsi="黑体" w:eastAsia="黑体" w:cs="黑体"/>
          <w:b/>
          <w:bCs/>
          <w:color w:val="000000"/>
          <w:sz w:val="28"/>
          <w:szCs w:val="28"/>
        </w:rPr>
        <w:t>二、项目概况与招标范围</w:t>
      </w:r>
      <w:bookmarkEnd w:id="0"/>
    </w:p>
    <w:p w14:paraId="261FDF1E">
      <w:pPr>
        <w:pStyle w:val="4"/>
        <w:spacing w:before="160" w:after="80"/>
      </w:pPr>
      <w:r>
        <w:rPr>
          <w:rFonts w:ascii="黑体" w:hAnsi="黑体" w:eastAsia="黑体" w:cs="黑体"/>
          <w:b/>
          <w:bCs/>
          <w:color w:val="000000"/>
          <w:sz w:val="24"/>
          <w:szCs w:val="24"/>
        </w:rPr>
        <w:t>2.1 项目概况</w:t>
      </w:r>
    </w:p>
    <w:p w14:paraId="48C05B49">
      <w:pPr>
        <w:spacing w:before="40" w:after="40" w:line="360" w:lineRule="auto"/>
        <w:ind w:firstLine="480"/>
        <w:jc w:val="both"/>
      </w:pPr>
      <w:r>
        <w:rPr>
          <w:rFonts w:ascii="宋体" w:hAnsi="宋体" w:eastAsia="宋体" w:cs="宋体"/>
          <w:sz w:val="24"/>
          <w:szCs w:val="24"/>
        </w:rPr>
        <w:t>2.1.1 项目名称：</w:t>
      </w:r>
      <w:r>
        <w:rPr>
          <w:rFonts w:hint="eastAsia" w:ascii="Times New Roman" w:hAnsi="Times New Roman" w:eastAsia="宋体" w:cs="Times New Roman"/>
          <w:sz w:val="24"/>
          <w:szCs w:val="24"/>
          <w:u w:val="words"/>
          <w:lang w:val="en-US" w:eastAsia="zh-CN"/>
        </w:rPr>
        <w:t>宜昌市西陵区危旧房改造项目（西陵二路35号新华印刷厂地块及珍珠路39号嘉明花园地块）</w:t>
      </w:r>
      <w:r>
        <w:rPr>
          <w:rFonts w:ascii="宋体" w:hAnsi="宋体" w:eastAsia="宋体" w:cs="宋体"/>
          <w:sz w:val="24"/>
          <w:szCs w:val="24"/>
          <w:u w:val="words"/>
        </w:rPr>
        <w:t>项目</w:t>
      </w:r>
      <w:r>
        <w:rPr>
          <w:rFonts w:hint="eastAsia" w:ascii="Times New Roman" w:hAnsi="Times New Roman" w:eastAsia="宋体" w:cs="Times New Roman"/>
          <w:sz w:val="24"/>
          <w:szCs w:val="24"/>
          <w:u w:val="words"/>
          <w:lang w:val="zh-CN" w:eastAsia="zh-CN"/>
        </w:rPr>
        <w:t>玻璃门窗及栏板</w:t>
      </w:r>
      <w:r>
        <w:rPr>
          <w:rFonts w:ascii="宋体" w:hAnsi="宋体" w:eastAsia="宋体" w:cs="宋体"/>
          <w:sz w:val="24"/>
          <w:szCs w:val="24"/>
          <w:u w:val="words"/>
        </w:rPr>
        <w:t>工程</w:t>
      </w:r>
      <w:r>
        <w:rPr>
          <w:rFonts w:ascii="宋体" w:hAnsi="宋体" w:eastAsia="宋体" w:cs="宋体"/>
          <w:sz w:val="24"/>
          <w:szCs w:val="24"/>
        </w:rPr>
        <w:t>。</w:t>
      </w:r>
    </w:p>
    <w:p w14:paraId="0A06E638">
      <w:pPr>
        <w:spacing w:before="40" w:after="40" w:line="360" w:lineRule="auto"/>
        <w:ind w:firstLine="480"/>
        <w:jc w:val="both"/>
      </w:pPr>
      <w:r>
        <w:rPr>
          <w:rFonts w:ascii="宋体" w:hAnsi="宋体" w:eastAsia="宋体" w:cs="宋体"/>
          <w:sz w:val="24"/>
          <w:szCs w:val="24"/>
        </w:rPr>
        <w:t>2.1.2 建设地点：</w:t>
      </w:r>
      <w:r>
        <w:rPr>
          <w:rFonts w:hint="eastAsia" w:cs="宋体"/>
          <w:sz w:val="24"/>
          <w:szCs w:val="24"/>
          <w:u w:val="words"/>
          <w:lang w:val="en-US" w:eastAsia="zh-CN"/>
        </w:rPr>
        <w:t>湖北</w:t>
      </w:r>
      <w:r>
        <w:rPr>
          <w:rFonts w:ascii="宋体" w:hAnsi="宋体" w:eastAsia="宋体" w:cs="宋体"/>
          <w:sz w:val="24"/>
          <w:szCs w:val="24"/>
          <w:u w:val="words"/>
        </w:rPr>
        <w:t>省</w:t>
      </w:r>
      <w:r>
        <w:rPr>
          <w:rFonts w:hint="eastAsia" w:cs="宋体"/>
          <w:sz w:val="24"/>
          <w:szCs w:val="24"/>
          <w:u w:val="words"/>
          <w:lang w:val="en-US" w:eastAsia="zh-CN"/>
        </w:rPr>
        <w:t>宜昌</w:t>
      </w:r>
      <w:r>
        <w:rPr>
          <w:rFonts w:ascii="宋体" w:hAnsi="宋体" w:eastAsia="宋体" w:cs="宋体"/>
          <w:sz w:val="24"/>
          <w:szCs w:val="24"/>
          <w:u w:val="words"/>
        </w:rPr>
        <w:t>市</w:t>
      </w:r>
      <w:r>
        <w:rPr>
          <w:rFonts w:hint="eastAsia" w:cs="宋体"/>
          <w:sz w:val="24"/>
          <w:szCs w:val="24"/>
          <w:u w:val="words"/>
          <w:lang w:val="en-US" w:eastAsia="zh-CN"/>
        </w:rPr>
        <w:t>西陵区</w:t>
      </w:r>
    </w:p>
    <w:p w14:paraId="5257CD23">
      <w:pPr>
        <w:spacing w:before="40" w:after="40" w:line="360" w:lineRule="auto"/>
        <w:ind w:firstLine="480"/>
        <w:jc w:val="both"/>
        <w:rPr>
          <w:rFonts w:ascii="宋体" w:hAnsi="宋体" w:eastAsia="宋体" w:cs="宋体"/>
          <w:sz w:val="24"/>
          <w:szCs w:val="24"/>
          <w:u w:val="single"/>
        </w:rPr>
      </w:pPr>
      <w:r>
        <w:rPr>
          <w:rFonts w:ascii="宋体" w:hAnsi="宋体" w:eastAsia="宋体" w:cs="宋体"/>
          <w:sz w:val="24"/>
          <w:szCs w:val="24"/>
        </w:rPr>
        <w:t>2.1.3 项目规模：</w:t>
      </w:r>
      <w:r>
        <w:rPr>
          <w:rFonts w:hint="eastAsia" w:cs="宋体"/>
          <w:sz w:val="24"/>
          <w:szCs w:val="24"/>
          <w:u w:val="single"/>
          <w:lang w:val="en-US" w:eastAsia="zh-CN"/>
        </w:rPr>
        <w:t>新华印刷厂地块新建建筑面积2940.28M2，嘉明花园地块新建建筑面积4948.87M2</w:t>
      </w:r>
      <w:r>
        <w:rPr>
          <w:rFonts w:ascii="宋体" w:hAnsi="宋体" w:eastAsia="宋体" w:cs="宋体"/>
          <w:sz w:val="24"/>
          <w:szCs w:val="24"/>
          <w:u w:val="single"/>
        </w:rPr>
        <w:t>。</w:t>
      </w:r>
    </w:p>
    <w:p w14:paraId="55A8DAA5">
      <w:pPr>
        <w:spacing w:before="40" w:after="40" w:line="360" w:lineRule="auto"/>
        <w:ind w:firstLine="480"/>
        <w:jc w:val="both"/>
      </w:pPr>
      <w:r>
        <w:rPr>
          <w:rFonts w:ascii="宋体" w:hAnsi="宋体" w:eastAsia="宋体" w:cs="宋体"/>
          <w:sz w:val="24"/>
          <w:szCs w:val="24"/>
        </w:rPr>
        <w:t>2.1.4 招标范围：本项目玻璃门窗及栏板工程施工专业分包，包括断桥铝合金门窗（内平开窗、阳台推拉门）、阳台玻璃栏板、楼梯不扶手栏杆、铝合金空调百叶的制作与安装（含深化设计、材料供应、加工制作、运输、安装、检测、成品保护及保修），具体范围以第五章工程量清单及第七章图纸为准。</w:t>
      </w:r>
    </w:p>
    <w:p w14:paraId="05A99379">
      <w:pPr>
        <w:pStyle w:val="4"/>
        <w:spacing w:before="160" w:after="80"/>
      </w:pPr>
      <w:r>
        <w:rPr>
          <w:rFonts w:ascii="黑体" w:hAnsi="黑体" w:eastAsia="黑体" w:cs="黑体"/>
          <w:b/>
          <w:bCs/>
          <w:color w:val="000000"/>
          <w:sz w:val="24"/>
          <w:szCs w:val="24"/>
        </w:rPr>
        <w:t>2.2 交货期及安装工期</w:t>
      </w:r>
    </w:p>
    <w:p w14:paraId="7FA61AE5">
      <w:pPr>
        <w:spacing w:before="40" w:after="40" w:line="360" w:lineRule="auto"/>
        <w:ind w:firstLine="480"/>
        <w:jc w:val="both"/>
      </w:pPr>
      <w:r>
        <w:rPr>
          <w:rFonts w:ascii="宋体" w:hAnsi="宋体" w:eastAsia="宋体" w:cs="宋体"/>
          <w:sz w:val="24"/>
          <w:szCs w:val="24"/>
        </w:rPr>
        <w:t>2.2.1 深化设计期限：合同签订后</w:t>
      </w:r>
      <w:r>
        <w:rPr>
          <w:rFonts w:hint="eastAsia" w:ascii="宋体" w:hAnsi="宋体" w:cs="宋体"/>
          <w:sz w:val="24"/>
          <w:szCs w:val="24"/>
          <w:lang w:val="en-US" w:eastAsia="zh-CN"/>
        </w:rPr>
        <w:t>1</w:t>
      </w:r>
      <w:r>
        <w:rPr>
          <w:rFonts w:ascii="宋体" w:hAnsi="宋体" w:eastAsia="宋体" w:cs="宋体"/>
          <w:sz w:val="24"/>
          <w:szCs w:val="24"/>
        </w:rPr>
        <w:t>0天内完成门窗及栏板深化设计并经发包人书面确认，深化设计未经确认不得批量下单加工。</w:t>
      </w:r>
    </w:p>
    <w:p w14:paraId="2E31F66D">
      <w:pPr>
        <w:spacing w:before="40" w:after="40" w:line="360" w:lineRule="auto"/>
        <w:ind w:firstLine="480"/>
        <w:jc w:val="both"/>
      </w:pPr>
      <w:r>
        <w:rPr>
          <w:rFonts w:ascii="宋体" w:hAnsi="宋体" w:eastAsia="宋体" w:cs="宋体"/>
          <w:sz w:val="24"/>
          <w:szCs w:val="24"/>
        </w:rPr>
        <w:t>2.2.2 交货期（分批供货）：中标人根据发包人（或总包单位）下达的批次供货通知单组织生产，自通知单下达之日起20天内将该批次材料（含框料、扇料、玻璃、五金配件及辅材）运抵施工现场指定地点，并随货提供出厂合格证及型式检验报告。</w:t>
      </w:r>
    </w:p>
    <w:p w14:paraId="0C72C09F">
      <w:pPr>
        <w:spacing w:before="40" w:after="40" w:line="360" w:lineRule="auto"/>
        <w:ind w:firstLine="480"/>
        <w:jc w:val="both"/>
      </w:pPr>
      <w:r>
        <w:rPr>
          <w:rFonts w:ascii="宋体" w:hAnsi="宋体" w:eastAsia="宋体" w:cs="宋体"/>
          <w:sz w:val="24"/>
          <w:szCs w:val="24"/>
        </w:rPr>
        <w:t>2.2.3 安装工期：现场安装随总包施工进度穿插进行，每批次作业面移交后25天内完成该批次门窗框安装及后续玻璃、五金安装，并满足总包月度进度计划要求。</w:t>
      </w:r>
    </w:p>
    <w:p w14:paraId="26030759">
      <w:pPr>
        <w:spacing w:before="40" w:after="40" w:line="360" w:lineRule="auto"/>
        <w:ind w:firstLine="480"/>
        <w:jc w:val="both"/>
      </w:pPr>
      <w:r>
        <w:rPr>
          <w:rFonts w:ascii="宋体" w:hAnsi="宋体" w:eastAsia="宋体" w:cs="宋体"/>
          <w:sz w:val="24"/>
          <w:szCs w:val="24"/>
        </w:rPr>
        <w:t>2.2.4 总工期要求：满足项目总体开发进度计划，具体节点以合同附件《供货及安装进度计划》为准。</w:t>
      </w:r>
    </w:p>
    <w:p w14:paraId="205785CC">
      <w:pPr>
        <w:pStyle w:val="4"/>
        <w:spacing w:before="160" w:after="80"/>
      </w:pPr>
      <w:r>
        <w:rPr>
          <w:rFonts w:ascii="黑体" w:hAnsi="黑体" w:eastAsia="黑体" w:cs="黑体"/>
          <w:b/>
          <w:bCs/>
          <w:color w:val="000000"/>
          <w:sz w:val="24"/>
          <w:szCs w:val="24"/>
        </w:rPr>
        <w:t>2.3 质量标准</w:t>
      </w:r>
    </w:p>
    <w:p w14:paraId="6ECB780D">
      <w:pPr>
        <w:spacing w:before="40" w:after="40" w:line="360" w:lineRule="auto"/>
        <w:ind w:firstLine="480"/>
        <w:jc w:val="both"/>
      </w:pPr>
      <w:r>
        <w:rPr>
          <w:rFonts w:ascii="宋体" w:hAnsi="宋体" w:eastAsia="宋体" w:cs="宋体"/>
          <w:sz w:val="24"/>
          <w:szCs w:val="24"/>
        </w:rPr>
        <w:t>2.3.1 本工程质量须符合《建筑装饰装修工程质量验收标准》GB 50210-2018、《建筑节能工程施工质量验收标准》GB 50411-2019等现行国家及行业规范、标准和经审查合格的设计文件要求，一次验收合格。</w:t>
      </w:r>
    </w:p>
    <w:p w14:paraId="42AAD6D7">
      <w:pPr>
        <w:spacing w:before="40" w:after="40" w:line="360" w:lineRule="auto"/>
        <w:ind w:firstLine="480"/>
        <w:jc w:val="both"/>
      </w:pPr>
      <w:r>
        <w:rPr>
          <w:rFonts w:ascii="宋体" w:hAnsi="宋体" w:eastAsia="宋体" w:cs="宋体"/>
          <w:sz w:val="24"/>
          <w:szCs w:val="24"/>
        </w:rPr>
        <w:t>2.3.2 防渗漏专项要求：外门窗安装完成后按不低于总数2</w:t>
      </w:r>
      <w:r>
        <w:rPr>
          <w:rFonts w:hint="eastAsia" w:ascii="宋体" w:hAnsi="宋体" w:cs="宋体"/>
          <w:sz w:val="24"/>
          <w:szCs w:val="24"/>
          <w:lang w:val="en-US" w:eastAsia="zh-CN"/>
        </w:rPr>
        <w:t>0</w:t>
      </w:r>
      <w:r>
        <w:rPr>
          <w:rFonts w:ascii="宋体" w:hAnsi="宋体" w:eastAsia="宋体" w:cs="宋体"/>
          <w:sz w:val="24"/>
          <w:szCs w:val="24"/>
        </w:rPr>
        <w:t>%的比例进行现场淋水试验（迎风面、转角、窗台等重点部位必检），不得出现渗漏；气密性、水密性、抗风压性能（三性）经第三方检测机构现场检测合格；五金配件启闭灵活、锁闭可靠，观感质量评定优良。</w:t>
      </w:r>
    </w:p>
    <w:p w14:paraId="0891BC37">
      <w:pPr>
        <w:spacing w:before="40" w:after="40" w:line="360" w:lineRule="auto"/>
        <w:ind w:firstLine="480"/>
        <w:jc w:val="both"/>
      </w:pPr>
      <w:r>
        <w:rPr>
          <w:rFonts w:ascii="宋体" w:hAnsi="宋体" w:eastAsia="宋体" w:cs="宋体"/>
          <w:sz w:val="24"/>
          <w:szCs w:val="24"/>
        </w:rPr>
        <w:t>2.3.3 玻璃栏板及栏杆安装牢固，锚固件现场拉拔试验合格，栏杆高度及杆件净距满足《建筑玻璃应用技术规程》JGJ 113-2015要求。</w:t>
      </w:r>
    </w:p>
    <w:p w14:paraId="7E7EF501">
      <w:pPr>
        <w:spacing w:before="40" w:after="40" w:line="360" w:lineRule="auto"/>
        <w:ind w:firstLine="480"/>
        <w:jc w:val="both"/>
      </w:pPr>
      <w:r>
        <w:rPr>
          <w:rFonts w:ascii="宋体" w:hAnsi="宋体" w:eastAsia="宋体" w:cs="宋体"/>
          <w:sz w:val="24"/>
          <w:szCs w:val="24"/>
        </w:rPr>
        <w:t>2.3.4 因质量缺陷发生的检测、返工、修复费用由承包人承担，并承担由此造成的工期延误违约责任。</w:t>
      </w:r>
    </w:p>
    <w:p w14:paraId="072E7C5E">
      <w:pPr>
        <w:pStyle w:val="4"/>
        <w:spacing w:before="160" w:after="80"/>
      </w:pPr>
      <w:r>
        <w:rPr>
          <w:rFonts w:ascii="黑体" w:hAnsi="黑体" w:eastAsia="黑体" w:cs="黑体"/>
          <w:b/>
          <w:bCs/>
          <w:color w:val="000000"/>
          <w:sz w:val="24"/>
          <w:szCs w:val="24"/>
        </w:rPr>
        <w:t>2.4 质保期</w:t>
      </w:r>
    </w:p>
    <w:p w14:paraId="572AD875">
      <w:pPr>
        <w:spacing w:before="40" w:after="40" w:line="360" w:lineRule="auto"/>
        <w:ind w:firstLine="480"/>
        <w:jc w:val="both"/>
      </w:pPr>
      <w:r>
        <w:rPr>
          <w:rFonts w:ascii="宋体" w:hAnsi="宋体" w:eastAsia="宋体" w:cs="宋体"/>
          <w:sz w:val="24"/>
          <w:szCs w:val="24"/>
        </w:rPr>
        <w:t>2.4.1 质保期自工程竣工验收合格之日起2年，其中外门窗防水密封部位质保期为5年。</w:t>
      </w:r>
    </w:p>
    <w:p w14:paraId="11B3BCFE">
      <w:pPr>
        <w:spacing w:before="40" w:after="40" w:line="360" w:lineRule="auto"/>
        <w:ind w:firstLine="480"/>
        <w:jc w:val="both"/>
      </w:pPr>
      <w:r>
        <w:rPr>
          <w:rFonts w:ascii="宋体" w:hAnsi="宋体" w:eastAsia="宋体" w:cs="宋体"/>
          <w:sz w:val="24"/>
          <w:szCs w:val="24"/>
        </w:rPr>
        <w:t>2.4.2 质保期内发生渗漏、五金失灵、型材变形、栏板松动等质量问题的，承包人须在接到通知后2小时内响应、24小时内到场处理；拖延维修的，发包人有权另行委托第三方维修，所需费用从质保金中扣除。</w:t>
      </w:r>
    </w:p>
    <w:p w14:paraId="1A7C66BD">
      <w:pPr>
        <w:pStyle w:val="3"/>
        <w:spacing w:before="200" w:after="120"/>
      </w:pPr>
      <w:bookmarkStart w:id="1" w:name="_Toc3026"/>
      <w:r>
        <w:rPr>
          <w:rFonts w:ascii="黑体" w:hAnsi="黑体" w:eastAsia="黑体" w:cs="黑体"/>
          <w:b/>
          <w:bCs/>
          <w:color w:val="000000"/>
          <w:sz w:val="28"/>
          <w:szCs w:val="28"/>
        </w:rPr>
        <w:t>三、投标人资格要求</w:t>
      </w:r>
      <w:bookmarkEnd w:id="1"/>
    </w:p>
    <w:p w14:paraId="0C51B0F0">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lang w:val="en-US" w:eastAsia="zh-CN"/>
        </w:rPr>
        <w:t>3.1 主体资格要求</w:t>
      </w:r>
    </w:p>
    <w:p w14:paraId="639BEC9C">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lang w:val="en-US" w:eastAsia="zh-CN"/>
        </w:rPr>
        <w:t>投标人须为在中华人民共和国境内依法注册、具备独立法人资格的企业，具有有效的营业执照，能够独立承担本项目施工、供货及售后服务等全部责任，不接受个体工商户、分公司等非独立法人主体投标。</w:t>
      </w:r>
    </w:p>
    <w:p w14:paraId="611DC8C0">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lang w:val="en-US" w:eastAsia="zh-CN"/>
        </w:rPr>
        <w:t>3.2 资质及安全许可要求</w:t>
      </w:r>
    </w:p>
    <w:p w14:paraId="401E47BA">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lang w:val="en-US" w:eastAsia="zh-CN"/>
        </w:rPr>
        <w:t>投标人须具备有效的建筑幕墙工程专业承包贰级及以上资质或建筑装修装饰工程专业承包贰级及以上资质；同时须持有有效的安全生产许可证，所有证照、资质证书均须在法定有效期内，资质范围满足本项目门窗、玻璃栏板制作安装施工需求。</w:t>
      </w:r>
    </w:p>
    <w:p w14:paraId="2CD2C6DA">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lang w:val="en-US" w:eastAsia="zh-CN"/>
        </w:rPr>
        <w:t>3.3 企业实力、人员、业绩及材料资料要求</w:t>
      </w:r>
    </w:p>
    <w:p w14:paraId="6B0D1CC8">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lang w:val="en-US" w:eastAsia="zh-CN"/>
        </w:rPr>
        <w:t>3.3.1 投标人须具备自有或长期合作的门窗、玻璃栏板专业化生产加工基地，具备完整的深化设计、工厂定制加工、现场安装及售后维保一体化服务能力，能够满足项目工期、质量及工艺标准要求。</w:t>
      </w:r>
    </w:p>
    <w:p w14:paraId="67B22FA4">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lang w:val="en-US" w:eastAsia="zh-CN"/>
        </w:rPr>
        <w:t>3.3.2 项目负责人要求：拟派本项目项目负责人须为投标人在职在岗人员，提供近3个月及以上连续社保缴纳证明；具备承担类似门窗、玻璃栏板、装饰幕墙类工程施工管理业绩，无在建违规、不良履约记录，全程驻场负责本项目施工管理工作。</w:t>
      </w:r>
    </w:p>
    <w:p w14:paraId="19109A9B">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lang w:val="en-US" w:eastAsia="zh-CN"/>
        </w:rPr>
        <w:t>3.3.3 材料资料要求：投标人须提供本项目所用主要材料（铝合金型材、钢化夹胶玻璃、密封胶、五金配件等）的品牌清单、产品合格证、出厂检测报告、型式检验报告等全套有效佐证资料，所有材料须符合国家现行规范及项目设计标准，严禁使用不合格、无检测备案的材料。</w:t>
      </w:r>
    </w:p>
    <w:p w14:paraId="51204C37">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rPr>
        <w:t>3.4 业绩要求：</w:t>
      </w:r>
    </w:p>
    <w:p w14:paraId="6C7E5B58">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rPr>
        <w:t>2021 年 1 月 1 日以来，投标产品制造商具有同类玻璃门窗（或玻璃栏板）业绩：单项合同</w:t>
      </w:r>
      <w:r>
        <w:rPr>
          <w:rFonts w:hint="eastAsia" w:ascii="宋体" w:hAnsi="宋体" w:eastAsia="宋体" w:cs="宋体"/>
          <w:sz w:val="24"/>
          <w:szCs w:val="24"/>
          <w:lang w:val="en-US" w:eastAsia="zh-CN"/>
        </w:rPr>
        <w:t>1</w:t>
      </w:r>
      <w:r>
        <w:rPr>
          <w:rFonts w:hint="default" w:ascii="宋体" w:hAnsi="宋体" w:eastAsia="宋体" w:cs="宋体"/>
          <w:sz w:val="24"/>
          <w:szCs w:val="24"/>
        </w:rPr>
        <w:t>00万元及以上或门窗面积5000㎡及以上≥3个</w:t>
      </w:r>
      <w:r>
        <w:rPr>
          <w:rFonts w:ascii="宋体" w:hAnsi="宋体" w:eastAsia="宋体" w:cs="宋体"/>
          <w:sz w:val="24"/>
          <w:szCs w:val="24"/>
        </w:rPr>
        <w:t>（提供合同及验收证明复印件）。</w:t>
      </w:r>
    </w:p>
    <w:p w14:paraId="0DC7DEAD">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rPr>
        <w:t>3.5 财务要求：提供经审计的近三年（2023—2025 年度）财务报告，财务状况良好，无不良记录。</w:t>
      </w:r>
    </w:p>
    <w:p w14:paraId="5929ED5D">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rPr>
        <w:t>3.6 信誉要求：未处于被责令停业、投标资格被取消或者财产被接管、冻结和破产状态；近三年内无骗取中标、严重违约及重大工程质量、安全生产责任事故；未被“信用中国”网站列入失信被执行人、重大税收违法案件当事人名单。</w:t>
      </w:r>
    </w:p>
    <w:p w14:paraId="4DB11C3D">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rPr>
        <w:t>3.7 本次招标 不接受 联合体投标。</w:t>
      </w:r>
    </w:p>
    <w:p w14:paraId="1FA74E55">
      <w:pPr>
        <w:spacing w:before="40" w:after="40" w:line="360" w:lineRule="auto"/>
        <w:ind w:firstLine="480"/>
        <w:jc w:val="both"/>
        <w:rPr>
          <w:rFonts w:ascii="宋体" w:hAnsi="宋体" w:eastAsia="宋体" w:cs="宋体"/>
          <w:sz w:val="24"/>
          <w:szCs w:val="24"/>
        </w:rPr>
      </w:pPr>
      <w:r>
        <w:rPr>
          <w:rFonts w:ascii="宋体" w:hAnsi="宋体" w:eastAsia="宋体" w:cs="宋体"/>
          <w:sz w:val="24"/>
          <w:szCs w:val="24"/>
        </w:rPr>
        <w:t>3.8 本次招标采用 资格后审 方式审查投标人资格。</w:t>
      </w:r>
    </w:p>
    <w:p w14:paraId="3F381A98">
      <w:pPr>
        <w:pStyle w:val="3"/>
        <w:spacing w:before="200" w:after="120"/>
      </w:pPr>
      <w:bookmarkStart w:id="2" w:name="_Toc1911"/>
      <w:r>
        <w:rPr>
          <w:rFonts w:ascii="黑体" w:hAnsi="黑体" w:eastAsia="黑体" w:cs="黑体"/>
          <w:b/>
          <w:bCs/>
          <w:color w:val="000000"/>
          <w:sz w:val="28"/>
          <w:szCs w:val="28"/>
        </w:rPr>
        <w:t>四、招标文件的获取</w:t>
      </w:r>
      <w:bookmarkEnd w:id="2"/>
    </w:p>
    <w:p w14:paraId="72BF3739">
      <w:pPr>
        <w:spacing w:before="40" w:after="40" w:line="360" w:lineRule="auto"/>
        <w:ind w:firstLine="480"/>
        <w:jc w:val="both"/>
      </w:pPr>
      <w:r>
        <w:rPr>
          <w:rFonts w:ascii="宋体" w:hAnsi="宋体" w:eastAsia="宋体" w:cs="宋体"/>
          <w:sz w:val="24"/>
          <w:szCs w:val="24"/>
        </w:rPr>
        <w:t xml:space="preserve">4.1 凡有意参加投标者，请于 2026 年 10 月 23 日 </w:t>
      </w:r>
      <w:r>
        <w:rPr>
          <w:rFonts w:hint="eastAsia" w:ascii="宋体" w:hAnsi="宋体" w:cs="宋体"/>
          <w:sz w:val="24"/>
          <w:szCs w:val="24"/>
          <w:lang w:val="en-US" w:eastAsia="zh-CN"/>
        </w:rPr>
        <w:t>14</w:t>
      </w:r>
      <w:r>
        <w:rPr>
          <w:rFonts w:ascii="宋体" w:hAnsi="宋体" w:eastAsia="宋体" w:cs="宋体"/>
          <w:sz w:val="24"/>
          <w:szCs w:val="24"/>
        </w:rPr>
        <w:t xml:space="preserve"> 时 00 分至 2026 年 10 月 27 日 17 时 00 分（北京时间，下同），登录</w:t>
      </w:r>
      <w:r>
        <w:rPr>
          <w:rFonts w:hint="eastAsia" w:ascii="Times New Roman" w:hAnsi="Times New Roman" w:eastAsia="宋体" w:cs="Times New Roman"/>
          <w:sz w:val="24"/>
          <w:szCs w:val="24"/>
        </w:rPr>
        <w:t>http://honganur.com</w:t>
      </w:r>
      <w:r>
        <w:rPr>
          <w:rFonts w:ascii="宋体" w:hAnsi="宋体" w:eastAsia="宋体" w:cs="宋体"/>
          <w:sz w:val="24"/>
          <w:szCs w:val="24"/>
        </w:rPr>
        <w:t>下载获取招标文件。</w:t>
      </w:r>
    </w:p>
    <w:p w14:paraId="270030EC">
      <w:pPr>
        <w:spacing w:before="40" w:after="40" w:line="360" w:lineRule="auto"/>
        <w:ind w:firstLine="480"/>
        <w:jc w:val="both"/>
      </w:pPr>
      <w:r>
        <w:rPr>
          <w:rFonts w:ascii="宋体" w:hAnsi="宋体" w:eastAsia="宋体" w:cs="宋体"/>
          <w:sz w:val="24"/>
          <w:szCs w:val="24"/>
        </w:rPr>
        <w:t>4.2 招标文件每套售价</w:t>
      </w:r>
      <w:r>
        <w:rPr>
          <w:rFonts w:hint="eastAsia" w:cs="宋体"/>
          <w:sz w:val="24"/>
          <w:szCs w:val="24"/>
          <w:u w:val="words"/>
          <w:lang w:val="en-US" w:eastAsia="zh-CN"/>
        </w:rPr>
        <w:t>0</w:t>
      </w:r>
      <w:r>
        <w:rPr>
          <w:rFonts w:ascii="宋体" w:hAnsi="宋体" w:eastAsia="宋体" w:cs="宋体"/>
          <w:sz w:val="24"/>
          <w:szCs w:val="24"/>
        </w:rPr>
        <w:t>元，售后不退。</w:t>
      </w:r>
    </w:p>
    <w:p w14:paraId="5A7AC141">
      <w:pPr>
        <w:spacing w:before="40" w:after="40" w:line="360" w:lineRule="auto"/>
        <w:ind w:firstLine="480"/>
        <w:jc w:val="both"/>
      </w:pPr>
      <w:r>
        <w:rPr>
          <w:rFonts w:ascii="宋体" w:hAnsi="宋体" w:eastAsia="宋体" w:cs="宋体"/>
          <w:sz w:val="24"/>
          <w:szCs w:val="24"/>
        </w:rPr>
        <w:t>4.3 未按规定获取招标文件的潜在投标人，其投标将被拒收。</w:t>
      </w:r>
    </w:p>
    <w:p w14:paraId="1F85DFF3">
      <w:pPr>
        <w:pStyle w:val="3"/>
        <w:spacing w:before="200" w:after="120"/>
      </w:pPr>
      <w:bookmarkStart w:id="3" w:name="_Toc12903"/>
      <w:r>
        <w:rPr>
          <w:rFonts w:ascii="黑体" w:hAnsi="黑体" w:eastAsia="黑体" w:cs="黑体"/>
          <w:b/>
          <w:bCs/>
          <w:color w:val="000000"/>
          <w:sz w:val="28"/>
          <w:szCs w:val="28"/>
        </w:rPr>
        <w:t>五、投标文件的递交</w:t>
      </w:r>
      <w:bookmarkEnd w:id="3"/>
    </w:p>
    <w:p w14:paraId="4F3BD5E6">
      <w:pPr>
        <w:spacing w:before="40" w:after="40" w:line="360" w:lineRule="auto"/>
        <w:ind w:firstLine="480"/>
        <w:jc w:val="both"/>
      </w:pPr>
      <w:r>
        <w:rPr>
          <w:rFonts w:ascii="宋体" w:hAnsi="宋体" w:eastAsia="宋体" w:cs="宋体"/>
          <w:sz w:val="24"/>
          <w:szCs w:val="24"/>
        </w:rPr>
        <w:t>5.1 投标文件递交的截止时间（投标截止时间，下同）为 2026 年 11 月 18 日 9 时 30 分，</w:t>
      </w:r>
      <w:r>
        <w:rPr>
          <w:rFonts w:hint="eastAsia"/>
          <w:sz w:val="24"/>
          <w:szCs w:val="24"/>
          <w:lang w:val="en-US" w:eastAsia="zh-CN"/>
        </w:rPr>
        <w:t>投标人应将纸质投标文件送至或邮寄至</w:t>
      </w:r>
      <w:r>
        <w:rPr>
          <w:rFonts w:hint="eastAsia"/>
          <w:sz w:val="24"/>
          <w:szCs w:val="24"/>
          <w:u w:val="words"/>
          <w:lang w:val="en-US" w:eastAsia="zh-CN"/>
        </w:rPr>
        <w:t>宜昌市西陵区石板溪社区宏安项目办公室</w:t>
      </w:r>
      <w:r>
        <w:rPr>
          <w:rFonts w:hint="eastAsia"/>
          <w:sz w:val="24"/>
          <w:szCs w:val="24"/>
          <w:lang w:val="en-US" w:eastAsia="zh-CN"/>
        </w:rPr>
        <w:t>，现场联系人</w:t>
      </w:r>
      <w:r>
        <w:rPr>
          <w:rFonts w:hint="eastAsia"/>
          <w:sz w:val="24"/>
          <w:szCs w:val="24"/>
          <w:u w:val="words"/>
          <w:lang w:val="en-US" w:eastAsia="zh-CN"/>
        </w:rPr>
        <w:t>胡忠斌13077832365</w:t>
      </w:r>
      <w:r>
        <w:rPr>
          <w:rFonts w:ascii="宋体" w:hAnsi="宋体" w:eastAsia="宋体" w:cs="宋体"/>
          <w:sz w:val="24"/>
          <w:szCs w:val="24"/>
        </w:rPr>
        <w:t>。</w:t>
      </w:r>
    </w:p>
    <w:p w14:paraId="571E66BA">
      <w:pPr>
        <w:spacing w:before="40" w:after="40" w:line="360" w:lineRule="auto"/>
        <w:ind w:firstLine="480"/>
        <w:jc w:val="both"/>
      </w:pPr>
      <w:r>
        <w:rPr>
          <w:rFonts w:ascii="宋体" w:hAnsi="宋体" w:eastAsia="宋体" w:cs="宋体"/>
          <w:sz w:val="24"/>
          <w:szCs w:val="24"/>
        </w:rPr>
        <w:t>5.2 逾期送达、未送达指定地点或者未按招标文件要求密封的投标文件，招标人将拒绝接收。</w:t>
      </w:r>
    </w:p>
    <w:p w14:paraId="6835ECA2">
      <w:pPr>
        <w:spacing w:before="40" w:after="40" w:line="360" w:lineRule="auto"/>
        <w:ind w:firstLine="480"/>
        <w:jc w:val="both"/>
      </w:pPr>
      <w:r>
        <w:rPr>
          <w:rFonts w:ascii="宋体" w:hAnsi="宋体" w:eastAsia="宋体" w:cs="宋体"/>
          <w:sz w:val="24"/>
          <w:szCs w:val="24"/>
        </w:rPr>
        <w:t>5.3 投标人在递交投标文件的同时，</w:t>
      </w:r>
      <w:r>
        <w:rPr>
          <w:rFonts w:hint="eastAsia" w:ascii="宋体" w:hAnsi="宋体" w:cs="宋体"/>
          <w:sz w:val="24"/>
          <w:szCs w:val="24"/>
          <w:lang w:val="en-US" w:eastAsia="zh-CN"/>
        </w:rPr>
        <w:t>无需递交投标保证金</w:t>
      </w:r>
      <w:r>
        <w:rPr>
          <w:rFonts w:ascii="宋体" w:hAnsi="宋体" w:eastAsia="宋体" w:cs="宋体"/>
          <w:sz w:val="24"/>
          <w:szCs w:val="24"/>
        </w:rPr>
        <w:t>。</w:t>
      </w:r>
    </w:p>
    <w:p w14:paraId="1C2DA972">
      <w:pPr>
        <w:pStyle w:val="3"/>
        <w:spacing w:before="200" w:after="120"/>
      </w:pPr>
      <w:bookmarkStart w:id="4" w:name="_Toc22506"/>
      <w:r>
        <w:rPr>
          <w:rFonts w:ascii="黑体" w:hAnsi="黑体" w:eastAsia="黑体" w:cs="黑体"/>
          <w:b/>
          <w:bCs/>
          <w:color w:val="000000"/>
          <w:sz w:val="28"/>
          <w:szCs w:val="28"/>
        </w:rPr>
        <w:t>六、开标时间及地点</w:t>
      </w:r>
      <w:bookmarkEnd w:id="4"/>
    </w:p>
    <w:p w14:paraId="7B51F15B">
      <w:pPr>
        <w:spacing w:before="40" w:after="40" w:line="360" w:lineRule="auto"/>
        <w:ind w:firstLine="480"/>
        <w:jc w:val="both"/>
      </w:pPr>
      <w:r>
        <w:rPr>
          <w:rFonts w:ascii="宋体" w:hAnsi="宋体" w:eastAsia="宋体" w:cs="宋体"/>
          <w:sz w:val="24"/>
          <w:szCs w:val="24"/>
        </w:rPr>
        <w:t xml:space="preserve">开标时间为 2026 年 11 月 18 日 9 时 30 分（与投标截止时间相同），地点为 </w:t>
      </w:r>
      <w:r>
        <w:rPr>
          <w:rFonts w:hint="eastAsia"/>
          <w:sz w:val="24"/>
          <w:szCs w:val="24"/>
          <w:lang w:val="en-US" w:eastAsia="zh-CN"/>
        </w:rPr>
        <w:t>宜昌市西陵区石板溪社区宏安项目办公室</w:t>
      </w:r>
      <w:r>
        <w:rPr>
          <w:rFonts w:ascii="宋体" w:hAnsi="宋体" w:eastAsia="宋体" w:cs="宋体"/>
          <w:sz w:val="24"/>
          <w:szCs w:val="24"/>
        </w:rPr>
        <w:t>。</w:t>
      </w:r>
      <w:r>
        <w:rPr>
          <w:rFonts w:hint="eastAsia" w:cs="宋体"/>
          <w:sz w:val="24"/>
          <w:szCs w:val="24"/>
          <w:lang w:val="en-US" w:eastAsia="zh-CN"/>
        </w:rPr>
        <w:t>招标人无需出席</w:t>
      </w:r>
      <w:r>
        <w:rPr>
          <w:rFonts w:ascii="宋体" w:hAnsi="宋体" w:eastAsia="宋体" w:cs="宋体"/>
          <w:sz w:val="24"/>
          <w:szCs w:val="24"/>
        </w:rPr>
        <w:t>开标会议。</w:t>
      </w:r>
    </w:p>
    <w:p w14:paraId="06095A96">
      <w:pPr>
        <w:pStyle w:val="3"/>
        <w:spacing w:before="200" w:after="120"/>
      </w:pPr>
      <w:bookmarkStart w:id="5" w:name="_Toc13468"/>
      <w:r>
        <w:rPr>
          <w:rFonts w:ascii="黑体" w:hAnsi="黑体" w:eastAsia="黑体" w:cs="黑体"/>
          <w:b/>
          <w:bCs/>
          <w:color w:val="000000"/>
          <w:sz w:val="28"/>
          <w:szCs w:val="28"/>
        </w:rPr>
        <w:t>七、发布公告的媒介</w:t>
      </w:r>
      <w:bookmarkEnd w:id="5"/>
    </w:p>
    <w:p w14:paraId="5AFE7759">
      <w:pPr>
        <w:spacing w:before="40" w:after="40" w:line="360" w:lineRule="auto"/>
        <w:ind w:firstLine="480"/>
        <w:jc w:val="both"/>
      </w:pPr>
      <w:r>
        <w:rPr>
          <w:rFonts w:ascii="宋体" w:hAnsi="宋体" w:eastAsia="宋体" w:cs="宋体"/>
          <w:sz w:val="24"/>
          <w:szCs w:val="24"/>
        </w:rPr>
        <w:t xml:space="preserve">本招标公告在 </w:t>
      </w:r>
      <w:r>
        <w:rPr>
          <w:rFonts w:hint="eastAsia" w:ascii="Times New Roman" w:hAnsi="Times New Roman" w:eastAsia="宋体" w:cs="Times New Roman"/>
          <w:sz w:val="24"/>
          <w:szCs w:val="24"/>
        </w:rPr>
        <w:t>http://honganur.com</w:t>
      </w:r>
      <w:r>
        <w:rPr>
          <w:rFonts w:ascii="宋体" w:hAnsi="宋体" w:eastAsia="宋体" w:cs="宋体"/>
          <w:sz w:val="24"/>
          <w:szCs w:val="24"/>
        </w:rPr>
        <w:t>上发布。</w:t>
      </w:r>
    </w:p>
    <w:bookmarkEnd w:id="7"/>
    <w:p w14:paraId="39E25A5C">
      <w:pPr>
        <w:pStyle w:val="3"/>
        <w:spacing w:before="200" w:after="120"/>
      </w:pPr>
      <w:bookmarkStart w:id="6" w:name="_Toc13898"/>
      <w:r>
        <w:rPr>
          <w:rFonts w:ascii="黑体" w:hAnsi="黑体" w:eastAsia="黑体" w:cs="黑体"/>
          <w:b/>
          <w:bCs/>
          <w:color w:val="000000"/>
          <w:sz w:val="28"/>
          <w:szCs w:val="28"/>
        </w:rPr>
        <w:t>八、联系方式</w:t>
      </w:r>
      <w:bookmarkEnd w:id="6"/>
    </w:p>
    <w:p w14:paraId="0BCDB965">
      <w:pPr>
        <w:pStyle w:val="20"/>
        <w:spacing w:line="360" w:lineRule="auto"/>
        <w:rPr>
          <w:sz w:val="24"/>
          <w:szCs w:val="24"/>
        </w:rPr>
      </w:pPr>
      <w:r>
        <w:rPr>
          <w:rFonts w:ascii="宋体" w:hAnsi="宋体" w:eastAsia="宋体" w:cs="宋体"/>
          <w:sz w:val="24"/>
          <w:szCs w:val="24"/>
        </w:rPr>
        <w:t>招  标  人：</w:t>
      </w:r>
      <w:r>
        <w:rPr>
          <w:rFonts w:hint="eastAsia" w:ascii="宋体" w:hAnsi="宋体" w:eastAsia="宋体" w:cs="宋体"/>
          <w:bCs/>
          <w:sz w:val="24"/>
          <w:szCs w:val="24"/>
          <w:u w:val="words"/>
        </w:rPr>
        <w:t>湖北</w:t>
      </w:r>
      <w:r>
        <w:rPr>
          <w:rFonts w:hint="eastAsia" w:ascii="宋体" w:hAnsi="宋体" w:eastAsia="宋体" w:cs="宋体"/>
          <w:bCs/>
          <w:sz w:val="24"/>
          <w:szCs w:val="24"/>
          <w:u w:val="words"/>
          <w:lang w:val="en-US" w:eastAsia="zh-CN"/>
        </w:rPr>
        <w:t>省</w:t>
      </w:r>
      <w:r>
        <w:rPr>
          <w:rFonts w:hint="eastAsia" w:ascii="宋体" w:hAnsi="宋体" w:eastAsia="宋体" w:cs="宋体"/>
          <w:bCs/>
          <w:sz w:val="24"/>
          <w:szCs w:val="24"/>
          <w:u w:val="words"/>
        </w:rPr>
        <w:t>宏安房地产开发有限公司</w:t>
      </w:r>
    </w:p>
    <w:p w14:paraId="366C31AD">
      <w:pPr>
        <w:spacing w:before="40" w:after="40" w:line="360" w:lineRule="auto"/>
        <w:jc w:val="both"/>
      </w:pPr>
      <w:r>
        <w:rPr>
          <w:rFonts w:ascii="宋体" w:hAnsi="宋体" w:eastAsia="宋体" w:cs="宋体"/>
          <w:sz w:val="24"/>
          <w:szCs w:val="24"/>
        </w:rPr>
        <w:t>地        址：</w:t>
      </w:r>
      <w:r>
        <w:rPr>
          <w:rFonts w:hint="eastAsia" w:ascii="宋体" w:hAnsi="宋体" w:eastAsia="宋体" w:cs="宋体"/>
          <w:sz w:val="24"/>
          <w:szCs w:val="24"/>
        </w:rPr>
        <w:t>宜昌市西陵区西陵二路31-11-102、201号办公室</w:t>
      </w:r>
    </w:p>
    <w:p w14:paraId="1361148E">
      <w:pPr>
        <w:spacing w:before="40" w:after="40" w:line="360" w:lineRule="auto"/>
        <w:jc w:val="both"/>
        <w:rPr>
          <w:rFonts w:hint="eastAsia" w:cs="宋体"/>
          <w:sz w:val="24"/>
          <w:szCs w:val="24"/>
          <w:lang w:val="en-US" w:eastAsia="zh-CN"/>
        </w:rPr>
      </w:pPr>
      <w:r>
        <w:rPr>
          <w:rFonts w:ascii="宋体" w:hAnsi="宋体" w:eastAsia="宋体" w:cs="宋体"/>
          <w:sz w:val="24"/>
          <w:szCs w:val="24"/>
        </w:rPr>
        <w:t>联  系  人：</w:t>
      </w:r>
      <w:r>
        <w:rPr>
          <w:rFonts w:hint="eastAsia" w:cs="宋体"/>
          <w:sz w:val="24"/>
          <w:szCs w:val="24"/>
          <w:lang w:val="en-US" w:eastAsia="zh-CN"/>
        </w:rPr>
        <w:t>宋春隆</w:t>
      </w:r>
    </w:p>
    <w:p w14:paraId="1ACF00C3">
      <w:pPr>
        <w:spacing w:before="40" w:after="40" w:line="360" w:lineRule="auto"/>
        <w:jc w:val="both"/>
        <w:rPr>
          <w:rFonts w:hint="eastAsia" w:cs="宋体"/>
          <w:sz w:val="24"/>
          <w:szCs w:val="24"/>
          <w:lang w:val="en-US" w:eastAsia="zh-CN"/>
        </w:rPr>
      </w:pPr>
      <w:r>
        <w:rPr>
          <w:rFonts w:ascii="宋体" w:hAnsi="宋体" w:eastAsia="宋体" w:cs="宋体"/>
          <w:sz w:val="24"/>
          <w:szCs w:val="24"/>
        </w:rPr>
        <w:t>电        话：</w:t>
      </w:r>
      <w:r>
        <w:rPr>
          <w:rFonts w:hint="eastAsia" w:cs="宋体"/>
          <w:sz w:val="24"/>
          <w:szCs w:val="24"/>
          <w:lang w:val="en-US" w:eastAsia="zh-CN"/>
        </w:rPr>
        <w:t>15897568352</w:t>
      </w:r>
    </w:p>
    <w:p w14:paraId="6848C4D4">
      <w:pPr>
        <w:spacing w:before="40" w:after="40" w:line="360" w:lineRule="auto"/>
        <w:jc w:val="both"/>
        <w:rPr>
          <w:rFonts w:hint="default" w:eastAsia="宋体"/>
          <w:lang w:val="en-US" w:eastAsia="zh-CN"/>
        </w:rPr>
      </w:pPr>
      <w:r>
        <w:rPr>
          <w:rFonts w:ascii="宋体" w:hAnsi="宋体" w:eastAsia="宋体" w:cs="宋体"/>
          <w:sz w:val="24"/>
          <w:szCs w:val="24"/>
        </w:rPr>
        <w:t>电子邮箱：</w:t>
      </w:r>
      <w:r>
        <w:rPr>
          <w:rFonts w:hint="eastAsia" w:cs="宋体"/>
          <w:sz w:val="24"/>
          <w:szCs w:val="24"/>
          <w:lang w:val="en-US" w:eastAsia="zh-CN"/>
        </w:rPr>
        <w:t>510068673@qq.com</w:t>
      </w:r>
    </w:p>
    <w:p w14:paraId="00366F18"/>
    <w:p w14:paraId="57DF9C5F">
      <w:pPr>
        <w:pStyle w:val="20"/>
        <w:spacing w:line="360" w:lineRule="auto"/>
        <w:rPr>
          <w:sz w:val="24"/>
          <w:szCs w:val="24"/>
        </w:rPr>
      </w:pPr>
      <w:r>
        <w:rPr>
          <w:rFonts w:hint="eastAsia"/>
          <w:sz w:val="24"/>
          <w:szCs w:val="24"/>
        </w:rPr>
        <w:t>招标代理机构：</w:t>
      </w:r>
      <w:r>
        <w:rPr>
          <w:rFonts w:hint="eastAsia"/>
          <w:sz w:val="24"/>
          <w:szCs w:val="24"/>
          <w:lang w:val="en-US" w:eastAsia="zh-CN"/>
        </w:rPr>
        <w:t>本项目不设招标代理机构</w:t>
      </w:r>
    </w:p>
    <w:p w14:paraId="1F7ED501">
      <w:pPr>
        <w:pStyle w:val="20"/>
        <w:spacing w:line="360" w:lineRule="auto"/>
        <w:rPr>
          <w:rFonts w:hint="eastAsia"/>
          <w:sz w:val="24"/>
          <w:szCs w:val="24"/>
          <w:lang w:val="en-US" w:eastAsia="zh-CN"/>
        </w:rPr>
      </w:pPr>
      <w:r>
        <w:rPr>
          <w:rFonts w:hint="eastAsia"/>
          <w:sz w:val="24"/>
          <w:szCs w:val="24"/>
        </w:rPr>
        <w:t>联系人：</w:t>
      </w:r>
      <w:r>
        <w:rPr>
          <w:rFonts w:hint="eastAsia"/>
          <w:sz w:val="24"/>
          <w:szCs w:val="24"/>
          <w:lang w:val="en-US" w:eastAsia="zh-CN"/>
        </w:rPr>
        <w:t>/</w:t>
      </w:r>
    </w:p>
    <w:p w14:paraId="6820F4CB">
      <w:pPr>
        <w:pStyle w:val="20"/>
        <w:spacing w:line="360" w:lineRule="auto"/>
        <w:rPr>
          <w:sz w:val="24"/>
          <w:szCs w:val="24"/>
        </w:rPr>
      </w:pPr>
      <w:r>
        <w:rPr>
          <w:rFonts w:hint="eastAsia"/>
          <w:sz w:val="24"/>
          <w:szCs w:val="24"/>
        </w:rPr>
        <w:t>传真电话：</w:t>
      </w:r>
      <w:r>
        <w:rPr>
          <w:rFonts w:hint="eastAsia"/>
          <w:sz w:val="24"/>
          <w:szCs w:val="24"/>
          <w:lang w:val="en-US" w:eastAsia="zh-CN"/>
        </w:rPr>
        <w:t>/</w:t>
      </w:r>
    </w:p>
    <w:p w14:paraId="5F5A0593">
      <w:r>
        <w:rPr>
          <w:rFonts w:hint="eastAsia"/>
          <w:sz w:val="24"/>
          <w:szCs w:val="24"/>
        </w:rPr>
        <w:t>地址：</w:t>
      </w:r>
      <w:r>
        <w:rPr>
          <w:rFonts w:hint="eastAsia"/>
          <w:sz w:val="24"/>
          <w:szCs w:val="24"/>
          <w:lang w:val="en-US" w:eastAsia="zh-CN"/>
        </w:rPr>
        <w:t>/</w:t>
      </w:r>
    </w:p>
    <w:p w14:paraId="16235EDF">
      <w:pPr>
        <w:spacing w:before="40" w:after="40" w:line="360" w:lineRule="auto"/>
        <w:jc w:val="right"/>
      </w:pPr>
      <w:r>
        <w:rPr>
          <w:rFonts w:ascii="宋体" w:hAnsi="宋体" w:eastAsia="宋体" w:cs="宋体"/>
          <w:sz w:val="24"/>
          <w:szCs w:val="24"/>
        </w:rPr>
        <w:t>2026 年 10 月 20 日</w:t>
      </w:r>
    </w:p>
    <w:p w14:paraId="4E78B00A">
      <w:pPr>
        <w:pStyle w:val="2"/>
        <w:pageBreakBefore/>
      </w:pPr>
      <w:r>
        <w:rPr>
          <w:rFonts w:ascii="黑体" w:hAnsi="黑体" w:eastAsia="黑体"/>
          <w:b/>
          <w:bCs/>
          <w:color w:val="000000"/>
          <w:sz w:val="32"/>
          <w:szCs w:val="32"/>
        </w:rPr>
        <w:t>第二章  投标人须知</w:t>
      </w:r>
    </w:p>
    <w:p w14:paraId="3EAECA42">
      <w:pPr>
        <w:pStyle w:val="3"/>
      </w:pPr>
      <w:r>
        <w:rPr>
          <w:rFonts w:ascii="黑体" w:hAnsi="黑体" w:eastAsia="黑体"/>
          <w:b/>
          <w:bCs/>
          <w:color w:val="000000"/>
          <w:sz w:val="26"/>
          <w:szCs w:val="26"/>
        </w:rPr>
        <w:t>第一节  投标人须知前附表</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00"/>
        <w:gridCol w:w="2400"/>
        <w:gridCol w:w="5426"/>
      </w:tblGrid>
      <w:tr w14:paraId="4B80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200" w:type="dxa"/>
            <w:tcBorders>
              <w:top w:val="single" w:color="999999" w:sz="4" w:space="0"/>
              <w:left w:val="single" w:color="999999" w:sz="4" w:space="0"/>
              <w:bottom w:val="single" w:color="999999" w:sz="4" w:space="0"/>
              <w:right w:val="single" w:color="999999" w:sz="4" w:space="0"/>
            </w:tcBorders>
            <w:shd w:val="clear" w:color="auto" w:fill="D9E2F3"/>
            <w:tcMar>
              <w:top w:w="60" w:type="dxa"/>
              <w:left w:w="100" w:type="dxa"/>
              <w:bottom w:w="60" w:type="dxa"/>
              <w:right w:w="100" w:type="dxa"/>
            </w:tcMar>
            <w:vAlign w:val="center"/>
          </w:tcPr>
          <w:p w14:paraId="7EFB3D3A">
            <w:pPr>
              <w:spacing w:line="280" w:lineRule="auto"/>
              <w:jc w:val="center"/>
            </w:pPr>
            <w:r>
              <w:rPr>
                <w:rFonts w:ascii="Times New Roman" w:hAnsi="Times New Roman" w:eastAsia="宋体"/>
                <w:b/>
                <w:bCs/>
                <w:sz w:val="18"/>
                <w:szCs w:val="18"/>
              </w:rPr>
              <w:t>条款号</w:t>
            </w:r>
          </w:p>
        </w:tc>
        <w:tc>
          <w:tcPr>
            <w:tcW w:w="2400" w:type="dxa"/>
            <w:tcBorders>
              <w:top w:val="single" w:color="999999" w:sz="4" w:space="0"/>
              <w:left w:val="single" w:color="999999" w:sz="4" w:space="0"/>
              <w:bottom w:val="single" w:color="999999" w:sz="4" w:space="0"/>
              <w:right w:val="single" w:color="999999" w:sz="4" w:space="0"/>
            </w:tcBorders>
            <w:shd w:val="clear" w:color="auto" w:fill="D9E2F3"/>
            <w:tcMar>
              <w:top w:w="60" w:type="dxa"/>
              <w:left w:w="100" w:type="dxa"/>
              <w:bottom w:w="60" w:type="dxa"/>
              <w:right w:w="100" w:type="dxa"/>
            </w:tcMar>
            <w:vAlign w:val="center"/>
          </w:tcPr>
          <w:p w14:paraId="25765377">
            <w:pPr>
              <w:spacing w:line="280" w:lineRule="auto"/>
              <w:jc w:val="center"/>
            </w:pPr>
            <w:r>
              <w:rPr>
                <w:rFonts w:ascii="Times New Roman" w:hAnsi="Times New Roman" w:eastAsia="宋体"/>
                <w:b/>
                <w:bCs/>
                <w:sz w:val="18"/>
                <w:szCs w:val="18"/>
              </w:rPr>
              <w:t>条款名称</w:t>
            </w:r>
          </w:p>
        </w:tc>
        <w:tc>
          <w:tcPr>
            <w:tcW w:w="5426" w:type="dxa"/>
            <w:tcBorders>
              <w:top w:val="single" w:color="999999" w:sz="4" w:space="0"/>
              <w:left w:val="single" w:color="999999" w:sz="4" w:space="0"/>
              <w:bottom w:val="single" w:color="999999" w:sz="4" w:space="0"/>
              <w:right w:val="single" w:color="999999" w:sz="4" w:space="0"/>
            </w:tcBorders>
            <w:shd w:val="clear" w:color="auto" w:fill="D9E2F3"/>
            <w:tcMar>
              <w:top w:w="60" w:type="dxa"/>
              <w:left w:w="100" w:type="dxa"/>
              <w:bottom w:w="60" w:type="dxa"/>
              <w:right w:w="100" w:type="dxa"/>
            </w:tcMar>
            <w:vAlign w:val="center"/>
          </w:tcPr>
          <w:p w14:paraId="72295010">
            <w:pPr>
              <w:spacing w:line="280" w:lineRule="auto"/>
              <w:jc w:val="center"/>
            </w:pPr>
            <w:r>
              <w:rPr>
                <w:rFonts w:ascii="Times New Roman" w:hAnsi="Times New Roman" w:eastAsia="宋体"/>
                <w:b/>
                <w:bCs/>
                <w:sz w:val="18"/>
                <w:szCs w:val="18"/>
              </w:rPr>
              <w:t>编列内容</w:t>
            </w:r>
          </w:p>
        </w:tc>
      </w:tr>
      <w:tr w14:paraId="7E47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4AE91FB">
            <w:pPr>
              <w:spacing w:line="280" w:lineRule="auto"/>
              <w:jc w:val="center"/>
            </w:pPr>
            <w:r>
              <w:rPr>
                <w:rFonts w:ascii="Times New Roman" w:hAnsi="Times New Roman" w:eastAsia="宋体"/>
                <w:b w:val="0"/>
                <w:bCs w:val="0"/>
                <w:sz w:val="18"/>
                <w:szCs w:val="18"/>
              </w:rPr>
              <w:t>1.1.2</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CEBC60D">
            <w:pPr>
              <w:spacing w:line="280" w:lineRule="auto"/>
              <w:jc w:val="left"/>
            </w:pPr>
            <w:r>
              <w:rPr>
                <w:rFonts w:ascii="Times New Roman" w:hAnsi="Times New Roman" w:eastAsia="宋体"/>
                <w:b w:val="0"/>
                <w:bCs w:val="0"/>
                <w:sz w:val="18"/>
                <w:szCs w:val="18"/>
              </w:rPr>
              <w:t>招标人</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89ADDF9">
            <w:pPr>
              <w:spacing w:line="280" w:lineRule="auto"/>
              <w:jc w:val="left"/>
            </w:pPr>
            <w:r>
              <w:rPr>
                <w:rFonts w:hint="eastAsia" w:ascii="宋体" w:hAnsi="宋体" w:eastAsia="宋体" w:cs="宋体"/>
                <w:bCs/>
                <w:sz w:val="24"/>
                <w:szCs w:val="24"/>
                <w:u w:val="words"/>
              </w:rPr>
              <w:t>湖北</w:t>
            </w:r>
            <w:r>
              <w:rPr>
                <w:rFonts w:hint="eastAsia" w:ascii="宋体" w:hAnsi="宋体" w:eastAsia="宋体" w:cs="宋体"/>
                <w:bCs/>
                <w:sz w:val="24"/>
                <w:szCs w:val="24"/>
                <w:u w:val="words"/>
                <w:lang w:val="en-US" w:eastAsia="zh-CN"/>
              </w:rPr>
              <w:t>省</w:t>
            </w:r>
            <w:r>
              <w:rPr>
                <w:rFonts w:hint="eastAsia" w:ascii="宋体" w:hAnsi="宋体" w:eastAsia="宋体" w:cs="宋体"/>
                <w:bCs/>
                <w:sz w:val="24"/>
                <w:szCs w:val="24"/>
                <w:u w:val="words"/>
              </w:rPr>
              <w:t>宏安房地产开发有限公司</w:t>
            </w:r>
          </w:p>
        </w:tc>
      </w:tr>
      <w:tr w14:paraId="119E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3B56FBF">
            <w:pPr>
              <w:spacing w:line="280" w:lineRule="auto"/>
              <w:jc w:val="center"/>
            </w:pPr>
            <w:r>
              <w:rPr>
                <w:rFonts w:ascii="Times New Roman" w:hAnsi="Times New Roman" w:eastAsia="宋体"/>
                <w:b w:val="0"/>
                <w:bCs w:val="0"/>
                <w:sz w:val="18"/>
                <w:szCs w:val="18"/>
              </w:rPr>
              <w:t>1.1.3</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19729E2B">
            <w:pPr>
              <w:spacing w:line="280" w:lineRule="auto"/>
              <w:jc w:val="left"/>
            </w:pPr>
            <w:r>
              <w:rPr>
                <w:rFonts w:ascii="Times New Roman" w:hAnsi="Times New Roman" w:eastAsia="宋体"/>
                <w:b w:val="0"/>
                <w:bCs w:val="0"/>
                <w:sz w:val="18"/>
                <w:szCs w:val="18"/>
              </w:rPr>
              <w:t>招标代理机构</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1DAD6E30">
            <w:pPr>
              <w:spacing w:line="280" w:lineRule="auto"/>
              <w:jc w:val="left"/>
              <w:rPr>
                <w:rFonts w:hint="default" w:eastAsia="宋体"/>
                <w:lang w:val="en-US" w:eastAsia="zh-CN"/>
              </w:rPr>
            </w:pPr>
            <w:r>
              <w:rPr>
                <w:rFonts w:hint="eastAsia"/>
                <w:b w:val="0"/>
                <w:bCs w:val="0"/>
                <w:sz w:val="18"/>
                <w:szCs w:val="18"/>
                <w:lang w:val="en-US" w:eastAsia="zh-CN"/>
              </w:rPr>
              <w:t>本项目无</w:t>
            </w:r>
          </w:p>
        </w:tc>
      </w:tr>
      <w:tr w14:paraId="309B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5080039">
            <w:pPr>
              <w:spacing w:line="280" w:lineRule="auto"/>
              <w:jc w:val="center"/>
            </w:pPr>
            <w:r>
              <w:rPr>
                <w:rFonts w:ascii="Times New Roman" w:hAnsi="Times New Roman" w:eastAsia="宋体"/>
                <w:b w:val="0"/>
                <w:bCs w:val="0"/>
                <w:sz w:val="18"/>
                <w:szCs w:val="18"/>
              </w:rPr>
              <w:t>1.1.4</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BB52F08">
            <w:pPr>
              <w:spacing w:line="280" w:lineRule="auto"/>
              <w:jc w:val="left"/>
            </w:pPr>
            <w:r>
              <w:rPr>
                <w:rFonts w:ascii="Times New Roman" w:hAnsi="Times New Roman" w:eastAsia="宋体"/>
                <w:b w:val="0"/>
                <w:bCs w:val="0"/>
                <w:sz w:val="18"/>
                <w:szCs w:val="18"/>
              </w:rPr>
              <w:t>项目名称</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A29C8A7">
            <w:pPr>
              <w:spacing w:line="280" w:lineRule="auto"/>
              <w:jc w:val="left"/>
            </w:pPr>
            <w:r>
              <w:rPr>
                <w:rFonts w:hint="eastAsia" w:ascii="Times New Roman" w:hAnsi="Times New Roman" w:eastAsia="宋体"/>
                <w:b w:val="0"/>
                <w:bCs w:val="0"/>
                <w:sz w:val="18"/>
                <w:szCs w:val="18"/>
                <w:lang w:val="zh-CN" w:eastAsia="zh-CN"/>
              </w:rPr>
              <w:t>玻璃门窗及栏板</w:t>
            </w:r>
            <w:r>
              <w:rPr>
                <w:rFonts w:ascii="Times New Roman" w:hAnsi="Times New Roman" w:eastAsia="宋体"/>
                <w:b w:val="0"/>
                <w:bCs w:val="0"/>
                <w:sz w:val="18"/>
                <w:szCs w:val="18"/>
              </w:rPr>
              <w:t>工程</w:t>
            </w:r>
          </w:p>
        </w:tc>
      </w:tr>
      <w:tr w14:paraId="593E2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D83CDC4">
            <w:pPr>
              <w:spacing w:line="280" w:lineRule="auto"/>
              <w:jc w:val="center"/>
            </w:pPr>
            <w:r>
              <w:rPr>
                <w:rFonts w:ascii="Times New Roman" w:hAnsi="Times New Roman" w:eastAsia="宋体"/>
                <w:b w:val="0"/>
                <w:bCs w:val="0"/>
                <w:sz w:val="18"/>
                <w:szCs w:val="18"/>
              </w:rPr>
              <w:t>1.2.1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947C848">
            <w:pPr>
              <w:spacing w:line="280" w:lineRule="auto"/>
              <w:jc w:val="left"/>
            </w:pPr>
            <w:r>
              <w:rPr>
                <w:rFonts w:ascii="Times New Roman" w:hAnsi="Times New Roman" w:eastAsia="宋体"/>
                <w:b w:val="0"/>
                <w:bCs w:val="0"/>
                <w:sz w:val="18"/>
                <w:szCs w:val="18"/>
              </w:rPr>
              <w:t>资金来源</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E8A2D17">
            <w:pPr>
              <w:spacing w:line="280" w:lineRule="auto"/>
              <w:jc w:val="left"/>
            </w:pPr>
            <w:r>
              <w:rPr>
                <w:rFonts w:ascii="Times New Roman" w:hAnsi="Times New Roman" w:eastAsia="宋体"/>
                <w:b w:val="0"/>
                <w:bCs w:val="0"/>
                <w:sz w:val="18"/>
                <w:szCs w:val="18"/>
              </w:rPr>
              <w:t>企业自筹，已落实</w:t>
            </w:r>
          </w:p>
        </w:tc>
      </w:tr>
      <w:tr w14:paraId="35FE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1D05AEDB">
            <w:pPr>
              <w:spacing w:line="280" w:lineRule="auto"/>
              <w:jc w:val="center"/>
            </w:pPr>
            <w:r>
              <w:rPr>
                <w:rFonts w:ascii="Times New Roman" w:hAnsi="Times New Roman" w:eastAsia="宋体"/>
                <w:b w:val="0"/>
                <w:bCs w:val="0"/>
                <w:sz w:val="18"/>
                <w:szCs w:val="18"/>
              </w:rPr>
              <w:t>1.3.1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7E7E5B9">
            <w:pPr>
              <w:spacing w:line="280" w:lineRule="auto"/>
              <w:jc w:val="left"/>
            </w:pPr>
            <w:r>
              <w:rPr>
                <w:rFonts w:ascii="Times New Roman" w:hAnsi="Times New Roman" w:eastAsia="宋体"/>
                <w:b w:val="0"/>
                <w:bCs w:val="0"/>
                <w:sz w:val="18"/>
                <w:szCs w:val="18"/>
              </w:rPr>
              <w:t>计划工期</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051FC71">
            <w:pPr>
              <w:spacing w:line="280" w:lineRule="auto"/>
              <w:jc w:val="left"/>
            </w:pPr>
            <w:r>
              <w:rPr>
                <w:rFonts w:ascii="Times New Roman" w:hAnsi="Times New Roman" w:eastAsia="宋体"/>
                <w:b w:val="0"/>
                <w:bCs w:val="0"/>
                <w:sz w:val="18"/>
                <w:szCs w:val="18"/>
              </w:rPr>
              <w:t>深化设计</w:t>
            </w:r>
            <w:r>
              <w:rPr>
                <w:rFonts w:hint="eastAsia"/>
                <w:b w:val="0"/>
                <w:bCs w:val="0"/>
                <w:sz w:val="18"/>
                <w:szCs w:val="18"/>
                <w:lang w:val="en-US" w:eastAsia="zh-CN"/>
              </w:rPr>
              <w:t>1</w:t>
            </w:r>
            <w:r>
              <w:rPr>
                <w:rFonts w:ascii="Times New Roman" w:hAnsi="Times New Roman" w:eastAsia="宋体"/>
                <w:b w:val="0"/>
                <w:bCs w:val="0"/>
                <w:sz w:val="18"/>
                <w:szCs w:val="18"/>
              </w:rPr>
              <w:t>0天内确认，安装配合总包总工期，质保2年（防水5年）</w:t>
            </w:r>
          </w:p>
        </w:tc>
      </w:tr>
      <w:tr w14:paraId="68DE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EF099D2">
            <w:pPr>
              <w:spacing w:line="280" w:lineRule="auto"/>
              <w:jc w:val="center"/>
            </w:pPr>
            <w:r>
              <w:rPr>
                <w:rFonts w:ascii="Times New Roman" w:hAnsi="Times New Roman" w:eastAsia="宋体"/>
                <w:b w:val="0"/>
                <w:bCs w:val="0"/>
                <w:sz w:val="18"/>
                <w:szCs w:val="18"/>
              </w:rPr>
              <w:t>1.3.2</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8BA05B4">
            <w:pPr>
              <w:spacing w:line="280" w:lineRule="auto"/>
              <w:jc w:val="left"/>
            </w:pPr>
            <w:r>
              <w:rPr>
                <w:rFonts w:ascii="Times New Roman" w:hAnsi="Times New Roman" w:eastAsia="宋体"/>
                <w:b w:val="0"/>
                <w:bCs w:val="0"/>
                <w:sz w:val="18"/>
                <w:szCs w:val="18"/>
              </w:rPr>
              <w:t>质量标准</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1107809">
            <w:pPr>
              <w:spacing w:line="280" w:lineRule="auto"/>
              <w:jc w:val="left"/>
            </w:pPr>
            <w:r>
              <w:rPr>
                <w:rFonts w:ascii="Times New Roman" w:hAnsi="Times New Roman" w:eastAsia="宋体"/>
                <w:b w:val="0"/>
                <w:bCs w:val="0"/>
                <w:sz w:val="18"/>
                <w:szCs w:val="18"/>
              </w:rPr>
              <w:t>符合GB 50210及本文件第六章技术标准，一次验收合格</w:t>
            </w:r>
          </w:p>
        </w:tc>
      </w:tr>
      <w:tr w14:paraId="3ED1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D74737C">
            <w:pPr>
              <w:spacing w:line="280" w:lineRule="auto"/>
              <w:jc w:val="center"/>
            </w:pPr>
            <w:r>
              <w:rPr>
                <w:rFonts w:ascii="Times New Roman" w:hAnsi="Times New Roman" w:eastAsia="宋体"/>
                <w:b w:val="0"/>
                <w:bCs w:val="0"/>
                <w:sz w:val="18"/>
                <w:szCs w:val="18"/>
              </w:rPr>
              <w:t>1.4.1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2439F70">
            <w:pPr>
              <w:spacing w:line="280" w:lineRule="auto"/>
              <w:jc w:val="left"/>
            </w:pPr>
            <w:r>
              <w:rPr>
                <w:rFonts w:ascii="Times New Roman" w:hAnsi="Times New Roman" w:eastAsia="宋体"/>
                <w:b w:val="0"/>
                <w:bCs w:val="0"/>
                <w:sz w:val="18"/>
                <w:szCs w:val="18"/>
              </w:rPr>
              <w:t>资质要求</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D949BE0">
            <w:pPr>
              <w:spacing w:line="280" w:lineRule="auto"/>
              <w:jc w:val="left"/>
            </w:pPr>
            <w:r>
              <w:rPr>
                <w:rFonts w:ascii="Times New Roman" w:hAnsi="Times New Roman" w:eastAsia="宋体"/>
                <w:b w:val="0"/>
                <w:bCs w:val="0"/>
                <w:sz w:val="18"/>
                <w:szCs w:val="18"/>
              </w:rPr>
              <w:t>建筑幕墙工程专业承包贰级及以上或建筑装修装饰工程专业承包贰级及以上+安全生产许可证</w:t>
            </w:r>
          </w:p>
        </w:tc>
      </w:tr>
      <w:tr w14:paraId="659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9E5E34C">
            <w:pPr>
              <w:spacing w:line="280" w:lineRule="auto"/>
              <w:jc w:val="center"/>
            </w:pPr>
            <w:r>
              <w:rPr>
                <w:rFonts w:ascii="Times New Roman" w:hAnsi="Times New Roman" w:eastAsia="宋体"/>
                <w:b w:val="0"/>
                <w:bCs w:val="0"/>
                <w:sz w:val="18"/>
                <w:szCs w:val="18"/>
              </w:rPr>
              <w:t>1.4.2</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6E60934">
            <w:pPr>
              <w:spacing w:line="280" w:lineRule="auto"/>
              <w:jc w:val="left"/>
            </w:pPr>
            <w:r>
              <w:rPr>
                <w:rFonts w:ascii="Times New Roman" w:hAnsi="Times New Roman" w:eastAsia="宋体"/>
                <w:b w:val="0"/>
                <w:bCs w:val="0"/>
                <w:sz w:val="18"/>
                <w:szCs w:val="18"/>
              </w:rPr>
              <w:t>业绩要求</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1AE8A4FE">
            <w:pPr>
              <w:spacing w:line="280" w:lineRule="auto"/>
              <w:jc w:val="left"/>
            </w:pPr>
            <w:r>
              <w:rPr>
                <w:rFonts w:ascii="Times New Roman" w:hAnsi="Times New Roman" w:eastAsia="宋体"/>
                <w:b w:val="0"/>
                <w:bCs w:val="0"/>
                <w:sz w:val="18"/>
                <w:szCs w:val="18"/>
              </w:rPr>
              <w:t>2021年1月1日以来同类业绩≥3个，单项合同金额100万元及以上或门窗面积5000㎡及以上</w:t>
            </w:r>
          </w:p>
        </w:tc>
      </w:tr>
      <w:tr w14:paraId="3784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D803809">
            <w:pPr>
              <w:spacing w:line="280" w:lineRule="auto"/>
              <w:jc w:val="center"/>
            </w:pPr>
            <w:r>
              <w:rPr>
                <w:rFonts w:ascii="Times New Roman" w:hAnsi="Times New Roman" w:eastAsia="宋体"/>
                <w:b w:val="0"/>
                <w:bCs w:val="0"/>
                <w:sz w:val="18"/>
                <w:szCs w:val="18"/>
              </w:rPr>
              <w:t>1.4.3</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0EFF6A9">
            <w:pPr>
              <w:spacing w:line="280" w:lineRule="auto"/>
              <w:jc w:val="left"/>
            </w:pPr>
            <w:r>
              <w:rPr>
                <w:rFonts w:ascii="Times New Roman" w:hAnsi="Times New Roman" w:eastAsia="宋体"/>
                <w:b w:val="0"/>
                <w:bCs w:val="0"/>
                <w:sz w:val="18"/>
                <w:szCs w:val="18"/>
              </w:rPr>
              <w:t>是否接受联合体</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80C8C4D">
            <w:pPr>
              <w:spacing w:line="280" w:lineRule="auto"/>
              <w:jc w:val="left"/>
            </w:pPr>
            <w:r>
              <w:rPr>
                <w:rFonts w:ascii="Times New Roman" w:hAnsi="Times New Roman" w:eastAsia="宋体"/>
                <w:b w:val="0"/>
                <w:bCs w:val="0"/>
                <w:sz w:val="18"/>
                <w:szCs w:val="18"/>
              </w:rPr>
              <w:t>不接受</w:t>
            </w:r>
          </w:p>
        </w:tc>
      </w:tr>
      <w:tr w14:paraId="7F89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14A4ABC">
            <w:pPr>
              <w:spacing w:line="280" w:lineRule="auto"/>
              <w:jc w:val="center"/>
            </w:pPr>
            <w:r>
              <w:rPr>
                <w:rFonts w:ascii="Times New Roman" w:hAnsi="Times New Roman" w:eastAsia="宋体"/>
                <w:b w:val="0"/>
                <w:bCs w:val="0"/>
                <w:sz w:val="18"/>
                <w:szCs w:val="18"/>
              </w:rPr>
              <w:t>1.5.1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78DAC6C">
            <w:pPr>
              <w:spacing w:line="280" w:lineRule="auto"/>
              <w:jc w:val="left"/>
            </w:pPr>
            <w:r>
              <w:rPr>
                <w:rFonts w:ascii="Times New Roman" w:hAnsi="Times New Roman" w:eastAsia="宋体"/>
                <w:b w:val="0"/>
                <w:bCs w:val="0"/>
                <w:sz w:val="18"/>
                <w:szCs w:val="18"/>
              </w:rPr>
              <w:t>踏勘现场</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76DAE92">
            <w:pPr>
              <w:spacing w:line="280" w:lineRule="auto"/>
              <w:jc w:val="left"/>
            </w:pPr>
            <w:r>
              <w:rPr>
                <w:rFonts w:ascii="Times New Roman" w:hAnsi="Times New Roman" w:eastAsia="宋体"/>
                <w:b w:val="0"/>
                <w:bCs w:val="0"/>
                <w:sz w:val="18"/>
                <w:szCs w:val="18"/>
              </w:rPr>
              <w:t>2026年10月28日9:30，项目现场集中踏勘</w:t>
            </w:r>
          </w:p>
        </w:tc>
      </w:tr>
      <w:tr w14:paraId="4BB6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400C56B">
            <w:pPr>
              <w:spacing w:line="280" w:lineRule="auto"/>
              <w:jc w:val="center"/>
            </w:pPr>
            <w:r>
              <w:rPr>
                <w:rFonts w:ascii="Times New Roman" w:hAnsi="Times New Roman" w:eastAsia="宋体"/>
                <w:b w:val="0"/>
                <w:bCs w:val="0"/>
                <w:sz w:val="18"/>
                <w:szCs w:val="18"/>
              </w:rPr>
              <w:t>1.6.1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9E67234">
            <w:pPr>
              <w:spacing w:line="280" w:lineRule="auto"/>
              <w:jc w:val="left"/>
            </w:pPr>
            <w:r>
              <w:rPr>
                <w:rFonts w:ascii="Times New Roman" w:hAnsi="Times New Roman" w:eastAsia="宋体"/>
                <w:b w:val="0"/>
                <w:bCs w:val="0"/>
                <w:sz w:val="18"/>
                <w:szCs w:val="18"/>
              </w:rPr>
              <w:t>投标预备会（答疑）</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4E7934A">
            <w:pPr>
              <w:spacing w:line="280" w:lineRule="auto"/>
              <w:jc w:val="left"/>
            </w:pPr>
            <w:r>
              <w:rPr>
                <w:rFonts w:ascii="Times New Roman" w:hAnsi="Times New Roman" w:eastAsia="宋体"/>
                <w:b w:val="0"/>
                <w:bCs w:val="0"/>
                <w:sz w:val="18"/>
                <w:szCs w:val="18"/>
              </w:rPr>
              <w:t>2026年10月30日14:00，项目部会议室；投标人疑问须于2026年10月29日17:00前以书面形式提交，答疑纪要书面发全部投标人</w:t>
            </w:r>
          </w:p>
        </w:tc>
      </w:tr>
      <w:tr w14:paraId="0DB6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8068A71">
            <w:pPr>
              <w:spacing w:line="280" w:lineRule="auto"/>
              <w:jc w:val="center"/>
            </w:pPr>
            <w:r>
              <w:rPr>
                <w:rFonts w:ascii="Times New Roman" w:hAnsi="Times New Roman" w:eastAsia="宋体"/>
                <w:b w:val="0"/>
                <w:bCs w:val="0"/>
                <w:sz w:val="18"/>
                <w:szCs w:val="18"/>
              </w:rPr>
              <w:t>2.2.1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11E13D40">
            <w:pPr>
              <w:spacing w:line="280" w:lineRule="auto"/>
              <w:jc w:val="left"/>
            </w:pPr>
            <w:r>
              <w:rPr>
                <w:rFonts w:ascii="Times New Roman" w:hAnsi="Times New Roman" w:eastAsia="宋体"/>
                <w:b w:val="0"/>
                <w:bCs w:val="0"/>
                <w:sz w:val="18"/>
                <w:szCs w:val="18"/>
              </w:rPr>
              <w:t>投标截止时间</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2DB344B">
            <w:pPr>
              <w:spacing w:line="280" w:lineRule="auto"/>
              <w:jc w:val="left"/>
            </w:pPr>
            <w:r>
              <w:rPr>
                <w:rFonts w:ascii="Times New Roman" w:hAnsi="Times New Roman" w:eastAsia="宋体"/>
                <w:b w:val="0"/>
                <w:bCs w:val="0"/>
                <w:sz w:val="18"/>
                <w:szCs w:val="18"/>
              </w:rPr>
              <w:t>2026年11月18日9:30（北京时间；自招标文件发出之日2026年10月20日起至投标截止之日止共29日，满足法定不少于20日的要求）</w:t>
            </w:r>
          </w:p>
        </w:tc>
      </w:tr>
      <w:tr w14:paraId="712A2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4487E7B">
            <w:pPr>
              <w:spacing w:line="280" w:lineRule="auto"/>
              <w:jc w:val="center"/>
            </w:pPr>
            <w:r>
              <w:rPr>
                <w:rFonts w:ascii="Times New Roman" w:hAnsi="Times New Roman" w:eastAsia="宋体"/>
                <w:b w:val="0"/>
                <w:bCs w:val="0"/>
                <w:sz w:val="18"/>
                <w:szCs w:val="18"/>
              </w:rPr>
              <w:t>3.3.1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A032ECA">
            <w:pPr>
              <w:spacing w:line="280" w:lineRule="auto"/>
              <w:jc w:val="left"/>
            </w:pPr>
            <w:r>
              <w:rPr>
                <w:rFonts w:ascii="Times New Roman" w:hAnsi="Times New Roman" w:eastAsia="宋体"/>
                <w:b w:val="0"/>
                <w:bCs w:val="0"/>
                <w:sz w:val="18"/>
                <w:szCs w:val="18"/>
              </w:rPr>
              <w:t>投标有效期</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3102B8D">
            <w:pPr>
              <w:spacing w:line="280" w:lineRule="auto"/>
              <w:jc w:val="left"/>
            </w:pPr>
            <w:r>
              <w:rPr>
                <w:rFonts w:ascii="Times New Roman" w:hAnsi="Times New Roman" w:eastAsia="宋体"/>
                <w:b w:val="0"/>
                <w:bCs w:val="0"/>
                <w:sz w:val="18"/>
                <w:szCs w:val="18"/>
              </w:rPr>
              <w:t>自投标截止之日起90天</w:t>
            </w:r>
          </w:p>
        </w:tc>
      </w:tr>
      <w:tr w14:paraId="758F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CE8A2E0">
            <w:pPr>
              <w:spacing w:line="280" w:lineRule="auto"/>
              <w:jc w:val="center"/>
            </w:pPr>
            <w:r>
              <w:rPr>
                <w:rFonts w:ascii="Times New Roman" w:hAnsi="Times New Roman" w:eastAsia="宋体"/>
                <w:b w:val="0"/>
                <w:bCs w:val="0"/>
                <w:sz w:val="18"/>
                <w:szCs w:val="18"/>
              </w:rPr>
              <w:t>3.4.1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F95E5C0">
            <w:pPr>
              <w:spacing w:line="280" w:lineRule="auto"/>
              <w:jc w:val="left"/>
            </w:pPr>
            <w:r>
              <w:rPr>
                <w:rFonts w:ascii="Times New Roman" w:hAnsi="Times New Roman" w:eastAsia="宋体"/>
                <w:b w:val="0"/>
                <w:bCs w:val="0"/>
                <w:sz w:val="18"/>
                <w:szCs w:val="18"/>
              </w:rPr>
              <w:t>投标保证金</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F71D967">
            <w:pPr>
              <w:spacing w:line="280" w:lineRule="auto"/>
              <w:jc w:val="left"/>
              <w:rPr>
                <w:rFonts w:hint="default" w:eastAsia="宋体"/>
                <w:lang w:val="en-US" w:eastAsia="zh-CN"/>
              </w:rPr>
            </w:pPr>
            <w:r>
              <w:rPr>
                <w:rFonts w:hint="eastAsia"/>
                <w:lang w:val="en-US" w:eastAsia="zh-CN"/>
              </w:rPr>
              <w:t>本项目不设置投标保证金</w:t>
            </w:r>
          </w:p>
        </w:tc>
      </w:tr>
      <w:tr w14:paraId="3756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BB213E4">
            <w:pPr>
              <w:spacing w:line="280" w:lineRule="auto"/>
              <w:jc w:val="center"/>
            </w:pPr>
            <w:r>
              <w:rPr>
                <w:rFonts w:ascii="Times New Roman" w:hAnsi="Times New Roman" w:eastAsia="宋体"/>
                <w:b w:val="0"/>
                <w:bCs w:val="0"/>
                <w:sz w:val="18"/>
                <w:szCs w:val="18"/>
              </w:rPr>
              <w:t>3.5.2</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E95BD79">
            <w:pPr>
              <w:spacing w:line="280" w:lineRule="auto"/>
              <w:jc w:val="left"/>
            </w:pPr>
            <w:r>
              <w:rPr>
                <w:rFonts w:ascii="Times New Roman" w:hAnsi="Times New Roman" w:eastAsia="宋体"/>
                <w:b w:val="0"/>
                <w:bCs w:val="0"/>
                <w:sz w:val="18"/>
                <w:szCs w:val="18"/>
              </w:rPr>
              <w:t>投标文件份数</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128AA5A9">
            <w:pPr>
              <w:spacing w:line="280" w:lineRule="auto"/>
              <w:jc w:val="left"/>
            </w:pPr>
            <w:r>
              <w:rPr>
                <w:rFonts w:ascii="Times New Roman" w:hAnsi="Times New Roman" w:eastAsia="宋体"/>
                <w:b w:val="0"/>
                <w:bCs w:val="0"/>
                <w:sz w:val="18"/>
                <w:szCs w:val="18"/>
              </w:rPr>
              <w:t>正本1份、副本</w:t>
            </w:r>
            <w:r>
              <w:rPr>
                <w:rFonts w:hint="eastAsia"/>
                <w:b w:val="0"/>
                <w:bCs w:val="0"/>
                <w:sz w:val="18"/>
                <w:szCs w:val="18"/>
                <w:lang w:val="en-US" w:eastAsia="zh-CN"/>
              </w:rPr>
              <w:t>1</w:t>
            </w:r>
            <w:r>
              <w:rPr>
                <w:rFonts w:ascii="Times New Roman" w:hAnsi="Times New Roman" w:eastAsia="宋体"/>
                <w:b w:val="0"/>
                <w:bCs w:val="0"/>
                <w:sz w:val="18"/>
                <w:szCs w:val="18"/>
              </w:rPr>
              <w:t>份、电子版U盘1份</w:t>
            </w:r>
          </w:p>
        </w:tc>
      </w:tr>
      <w:tr w14:paraId="3ECA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FD5AD14">
            <w:pPr>
              <w:spacing w:line="280" w:lineRule="auto"/>
              <w:jc w:val="center"/>
            </w:pPr>
            <w:r>
              <w:rPr>
                <w:rFonts w:ascii="Times New Roman" w:hAnsi="Times New Roman" w:eastAsia="宋体"/>
                <w:b w:val="0"/>
                <w:bCs w:val="0"/>
                <w:sz w:val="18"/>
                <w:szCs w:val="18"/>
              </w:rPr>
              <w:t>3.5.3</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E5A9707">
            <w:pPr>
              <w:spacing w:line="280" w:lineRule="auto"/>
              <w:jc w:val="left"/>
            </w:pPr>
            <w:r>
              <w:rPr>
                <w:rFonts w:ascii="Times New Roman" w:hAnsi="Times New Roman" w:eastAsia="宋体"/>
                <w:b w:val="0"/>
                <w:bCs w:val="0"/>
                <w:sz w:val="18"/>
                <w:szCs w:val="18"/>
              </w:rPr>
              <w:t>技术标形式</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170334E1">
            <w:pPr>
              <w:spacing w:line="280" w:lineRule="auto"/>
              <w:jc w:val="left"/>
            </w:pPr>
            <w:r>
              <w:rPr>
                <w:rFonts w:ascii="Times New Roman" w:hAnsi="Times New Roman" w:eastAsia="宋体"/>
                <w:b w:val="0"/>
                <w:bCs w:val="0"/>
                <w:sz w:val="18"/>
                <w:szCs w:val="18"/>
              </w:rPr>
              <w:t>暗标（不得出现投标人名称及可识别标记）</w:t>
            </w:r>
          </w:p>
        </w:tc>
      </w:tr>
      <w:tr w14:paraId="25F8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AEED364">
            <w:pPr>
              <w:spacing w:line="280" w:lineRule="auto"/>
              <w:jc w:val="center"/>
            </w:pPr>
            <w:r>
              <w:rPr>
                <w:rFonts w:ascii="Times New Roman" w:hAnsi="Times New Roman" w:eastAsia="宋体"/>
                <w:b w:val="0"/>
                <w:bCs w:val="0"/>
                <w:sz w:val="18"/>
                <w:szCs w:val="18"/>
              </w:rPr>
              <w:t>4.1.1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E8A4B41">
            <w:pPr>
              <w:spacing w:line="280" w:lineRule="auto"/>
              <w:jc w:val="left"/>
            </w:pPr>
            <w:r>
              <w:rPr>
                <w:rFonts w:ascii="Times New Roman" w:hAnsi="Times New Roman" w:eastAsia="宋体"/>
                <w:b w:val="0"/>
                <w:bCs w:val="0"/>
                <w:sz w:val="18"/>
                <w:szCs w:val="18"/>
              </w:rPr>
              <w:t>密封要求</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8D531A7">
            <w:pPr>
              <w:spacing w:line="280" w:lineRule="auto"/>
              <w:jc w:val="left"/>
            </w:pPr>
            <w:r>
              <w:rPr>
                <w:rFonts w:ascii="Times New Roman" w:hAnsi="Times New Roman" w:eastAsia="宋体"/>
                <w:b w:val="0"/>
                <w:bCs w:val="0"/>
                <w:sz w:val="18"/>
                <w:szCs w:val="18"/>
              </w:rPr>
              <w:t>商务标、技术标分开密封包封，封口盖章并注明招标编号及“正本/副本”</w:t>
            </w:r>
          </w:p>
        </w:tc>
      </w:tr>
      <w:tr w14:paraId="4DE8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018C0A6">
            <w:pPr>
              <w:spacing w:line="280" w:lineRule="auto"/>
              <w:jc w:val="center"/>
            </w:pPr>
            <w:r>
              <w:rPr>
                <w:rFonts w:ascii="Times New Roman" w:hAnsi="Times New Roman" w:eastAsia="宋体"/>
                <w:b w:val="0"/>
                <w:bCs w:val="0"/>
                <w:sz w:val="18"/>
                <w:szCs w:val="18"/>
              </w:rPr>
              <w:t>5.1.1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10C01EFA">
            <w:pPr>
              <w:spacing w:line="280" w:lineRule="auto"/>
              <w:jc w:val="left"/>
            </w:pPr>
            <w:r>
              <w:rPr>
                <w:rFonts w:ascii="Times New Roman" w:hAnsi="Times New Roman" w:eastAsia="宋体"/>
                <w:b w:val="0"/>
                <w:bCs w:val="0"/>
                <w:sz w:val="18"/>
                <w:szCs w:val="18"/>
              </w:rPr>
              <w:t>开标时间地点</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C221FD4">
            <w:pPr>
              <w:spacing w:line="280" w:lineRule="auto"/>
              <w:jc w:val="left"/>
            </w:pPr>
            <w:r>
              <w:rPr>
                <w:rFonts w:ascii="Times New Roman" w:hAnsi="Times New Roman" w:eastAsia="宋体"/>
                <w:b w:val="0"/>
                <w:bCs w:val="0"/>
                <w:sz w:val="18"/>
                <w:szCs w:val="18"/>
              </w:rPr>
              <w:t>同投标截止时间，宜昌市西陵区石板溪社区宏安项目办公室</w:t>
            </w:r>
          </w:p>
        </w:tc>
      </w:tr>
      <w:tr w14:paraId="6FB3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9AC3DA2">
            <w:pPr>
              <w:spacing w:line="280" w:lineRule="auto"/>
              <w:jc w:val="center"/>
            </w:pPr>
            <w:r>
              <w:rPr>
                <w:rFonts w:ascii="Times New Roman" w:hAnsi="Times New Roman" w:eastAsia="宋体"/>
                <w:b w:val="0"/>
                <w:bCs w:val="0"/>
                <w:sz w:val="18"/>
                <w:szCs w:val="18"/>
              </w:rPr>
              <w:t>6.1.1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404DDDC">
            <w:pPr>
              <w:spacing w:line="280" w:lineRule="auto"/>
              <w:jc w:val="left"/>
            </w:pPr>
            <w:r>
              <w:rPr>
                <w:rFonts w:ascii="Times New Roman" w:hAnsi="Times New Roman" w:eastAsia="宋体"/>
                <w:b w:val="0"/>
                <w:bCs w:val="0"/>
                <w:sz w:val="18"/>
                <w:szCs w:val="18"/>
              </w:rPr>
              <w:t>评标办法</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5FB27B3">
            <w:pPr>
              <w:spacing w:line="280" w:lineRule="auto"/>
              <w:jc w:val="left"/>
            </w:pPr>
            <w:r>
              <w:rPr>
                <w:rFonts w:ascii="Times New Roman" w:hAnsi="Times New Roman" w:eastAsia="宋体"/>
                <w:b w:val="0"/>
                <w:bCs w:val="0"/>
                <w:sz w:val="18"/>
                <w:szCs w:val="18"/>
              </w:rPr>
              <w:t>综合评估法（详见第三章）</w:t>
            </w:r>
          </w:p>
        </w:tc>
      </w:tr>
      <w:tr w14:paraId="4FBA3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63C868D">
            <w:pPr>
              <w:spacing w:line="280" w:lineRule="auto"/>
              <w:jc w:val="center"/>
            </w:pPr>
            <w:r>
              <w:rPr>
                <w:rFonts w:ascii="Times New Roman" w:hAnsi="Times New Roman" w:eastAsia="宋体"/>
                <w:b w:val="0"/>
                <w:bCs w:val="0"/>
                <w:sz w:val="18"/>
                <w:szCs w:val="18"/>
              </w:rPr>
              <w:t>7.1.1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81C01EE">
            <w:pPr>
              <w:spacing w:line="280" w:lineRule="auto"/>
              <w:jc w:val="left"/>
            </w:pPr>
            <w:r>
              <w:rPr>
                <w:rFonts w:ascii="Times New Roman" w:hAnsi="Times New Roman" w:eastAsia="宋体"/>
                <w:b w:val="0"/>
                <w:bCs w:val="0"/>
                <w:sz w:val="18"/>
                <w:szCs w:val="18"/>
              </w:rPr>
              <w:t>履约担保</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0E2201B">
            <w:pPr>
              <w:spacing w:line="280" w:lineRule="auto"/>
              <w:jc w:val="left"/>
              <w:rPr>
                <w:rFonts w:hint="eastAsia" w:eastAsia="宋体"/>
                <w:lang w:val="en-US" w:eastAsia="zh-CN"/>
              </w:rPr>
            </w:pPr>
            <w:r>
              <w:rPr>
                <w:rFonts w:hint="eastAsia"/>
                <w:lang w:val="en-US" w:eastAsia="zh-CN"/>
              </w:rPr>
              <w:t>无</w:t>
            </w:r>
          </w:p>
        </w:tc>
      </w:tr>
      <w:tr w14:paraId="3967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F85CEE8">
            <w:pPr>
              <w:spacing w:line="280" w:lineRule="auto"/>
              <w:jc w:val="center"/>
            </w:pPr>
            <w:r>
              <w:rPr>
                <w:rFonts w:ascii="Times New Roman" w:hAnsi="Times New Roman" w:eastAsia="宋体"/>
                <w:b w:val="0"/>
                <w:bCs w:val="0"/>
                <w:sz w:val="18"/>
                <w:szCs w:val="18"/>
              </w:rPr>
              <w:t>7.3.1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1B971B1">
            <w:pPr>
              <w:spacing w:line="280" w:lineRule="auto"/>
              <w:jc w:val="left"/>
            </w:pPr>
            <w:r>
              <w:rPr>
                <w:rFonts w:ascii="Times New Roman" w:hAnsi="Times New Roman" w:eastAsia="宋体"/>
                <w:b w:val="0"/>
                <w:bCs w:val="0"/>
                <w:sz w:val="18"/>
                <w:szCs w:val="18"/>
              </w:rPr>
              <w:t>签订合同</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CC233D0">
            <w:pPr>
              <w:spacing w:line="280" w:lineRule="auto"/>
              <w:jc w:val="left"/>
            </w:pPr>
            <w:r>
              <w:rPr>
                <w:rFonts w:ascii="Times New Roman" w:hAnsi="Times New Roman" w:eastAsia="宋体"/>
                <w:b w:val="0"/>
                <w:bCs w:val="0"/>
                <w:sz w:val="18"/>
                <w:szCs w:val="18"/>
              </w:rPr>
              <w:t>中标通知书发出后14天内（提交履约担保后）</w:t>
            </w:r>
          </w:p>
        </w:tc>
      </w:tr>
      <w:tr w14:paraId="3D94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3032520">
            <w:pPr>
              <w:spacing w:line="280" w:lineRule="auto"/>
              <w:jc w:val="center"/>
            </w:pPr>
            <w:r>
              <w:rPr>
                <w:rFonts w:ascii="Times New Roman" w:hAnsi="Times New Roman" w:eastAsia="宋体"/>
                <w:b w:val="0"/>
                <w:bCs w:val="0"/>
                <w:sz w:val="18"/>
                <w:szCs w:val="18"/>
              </w:rPr>
              <w:t>7.4.1</w:t>
            </w:r>
          </w:p>
        </w:tc>
        <w:tc>
          <w:tcPr>
            <w:tcW w:w="24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D035FF2">
            <w:pPr>
              <w:spacing w:line="280" w:lineRule="auto"/>
              <w:jc w:val="left"/>
            </w:pPr>
            <w:r>
              <w:rPr>
                <w:rFonts w:ascii="Times New Roman" w:hAnsi="Times New Roman" w:eastAsia="宋体"/>
                <w:b w:val="0"/>
                <w:bCs w:val="0"/>
                <w:sz w:val="18"/>
                <w:szCs w:val="18"/>
              </w:rPr>
              <w:t>中标服务费</w:t>
            </w:r>
          </w:p>
        </w:tc>
        <w:tc>
          <w:tcPr>
            <w:tcW w:w="54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44378A0">
            <w:pPr>
              <w:spacing w:line="280" w:lineRule="auto"/>
              <w:jc w:val="left"/>
            </w:pPr>
            <w:r>
              <w:rPr>
                <w:rFonts w:ascii="Times New Roman" w:hAnsi="Times New Roman" w:eastAsia="宋体"/>
                <w:b w:val="0"/>
                <w:bCs w:val="0"/>
                <w:sz w:val="18"/>
                <w:szCs w:val="18"/>
              </w:rPr>
              <w:t>无</w:t>
            </w:r>
          </w:p>
        </w:tc>
      </w:tr>
    </w:tbl>
    <w:p w14:paraId="77196C28">
      <w:pPr>
        <w:pStyle w:val="3"/>
        <w:rPr>
          <w:rFonts w:ascii="黑体" w:hAnsi="黑体" w:eastAsia="黑体"/>
          <w:b/>
          <w:bCs/>
          <w:color w:val="000000"/>
          <w:sz w:val="26"/>
          <w:szCs w:val="26"/>
        </w:rPr>
      </w:pPr>
    </w:p>
    <w:p w14:paraId="46A2B3CE">
      <w:pPr>
        <w:pStyle w:val="3"/>
        <w:rPr>
          <w:rFonts w:ascii="黑体" w:hAnsi="黑体" w:eastAsia="黑体"/>
          <w:b/>
          <w:bCs/>
          <w:color w:val="000000"/>
          <w:sz w:val="26"/>
          <w:szCs w:val="26"/>
        </w:rPr>
      </w:pPr>
    </w:p>
    <w:p w14:paraId="01E03D22">
      <w:pPr>
        <w:pStyle w:val="3"/>
        <w:rPr>
          <w:rFonts w:ascii="黑体" w:hAnsi="黑体" w:eastAsia="黑体"/>
          <w:b/>
          <w:bCs/>
          <w:color w:val="000000"/>
          <w:sz w:val="26"/>
          <w:szCs w:val="26"/>
        </w:rPr>
      </w:pPr>
    </w:p>
    <w:p w14:paraId="28E95C00">
      <w:pPr>
        <w:pStyle w:val="3"/>
        <w:rPr>
          <w:rFonts w:ascii="黑体" w:hAnsi="黑体" w:eastAsia="黑体"/>
          <w:b/>
          <w:bCs/>
          <w:color w:val="000000"/>
          <w:sz w:val="26"/>
          <w:szCs w:val="26"/>
        </w:rPr>
      </w:pPr>
    </w:p>
    <w:p w14:paraId="0AB163B7">
      <w:pPr>
        <w:pStyle w:val="3"/>
      </w:pPr>
      <w:r>
        <w:rPr>
          <w:rFonts w:ascii="黑体" w:hAnsi="黑体" w:eastAsia="黑体"/>
          <w:b/>
          <w:bCs/>
          <w:color w:val="000000"/>
          <w:sz w:val="26"/>
          <w:szCs w:val="26"/>
        </w:rPr>
        <w:t>第二节  总则</w:t>
      </w:r>
    </w:p>
    <w:p w14:paraId="084F90D7">
      <w:pPr>
        <w:spacing w:after="80" w:line="300" w:lineRule="auto"/>
        <w:jc w:val="both"/>
      </w:pPr>
      <w:r>
        <w:rPr>
          <w:rFonts w:ascii="黑体" w:hAnsi="黑体" w:eastAsia="黑体"/>
          <w:b/>
          <w:bCs/>
          <w:sz w:val="21"/>
          <w:szCs w:val="21"/>
        </w:rPr>
        <w:t xml:space="preserve">1.1 定义  </w:t>
      </w:r>
      <w:r>
        <w:rPr>
          <w:rFonts w:ascii="Times New Roman" w:hAnsi="Times New Roman" w:eastAsia="宋体"/>
          <w:sz w:val="21"/>
          <w:szCs w:val="21"/>
        </w:rPr>
        <w:t>招标人／投标人／招标文件／投标文件等术语按通行定义执行；本文件中“天”指日历天。</w:t>
      </w:r>
    </w:p>
    <w:p w14:paraId="2E4BF4D1">
      <w:pPr>
        <w:spacing w:after="80" w:line="300" w:lineRule="auto"/>
        <w:jc w:val="both"/>
      </w:pPr>
      <w:r>
        <w:rPr>
          <w:rFonts w:ascii="黑体" w:hAnsi="黑体" w:eastAsia="黑体"/>
          <w:b/>
          <w:bCs/>
          <w:sz w:val="21"/>
          <w:szCs w:val="21"/>
        </w:rPr>
        <w:t xml:space="preserve">1.2 资金来源  </w:t>
      </w:r>
      <w:r>
        <w:rPr>
          <w:rFonts w:ascii="Times New Roman" w:hAnsi="Times New Roman" w:eastAsia="宋体"/>
          <w:sz w:val="21"/>
          <w:szCs w:val="21"/>
        </w:rPr>
        <w:t>见前附表。本项目资金已落实，招标人具备支付能力。</w:t>
      </w:r>
    </w:p>
    <w:p w14:paraId="43DF0E62">
      <w:pPr>
        <w:spacing w:after="80" w:line="300" w:lineRule="auto"/>
        <w:jc w:val="both"/>
      </w:pPr>
      <w:r>
        <w:rPr>
          <w:rFonts w:ascii="黑体" w:hAnsi="黑体" w:eastAsia="黑体"/>
          <w:b/>
          <w:bCs/>
          <w:sz w:val="21"/>
          <w:szCs w:val="21"/>
        </w:rPr>
        <w:t xml:space="preserve">1.3 招标范围、工期与质量  </w:t>
      </w:r>
      <w:r>
        <w:rPr>
          <w:rFonts w:ascii="Times New Roman" w:hAnsi="Times New Roman" w:eastAsia="宋体"/>
          <w:sz w:val="21"/>
          <w:szCs w:val="21"/>
        </w:rPr>
        <w:t>见前附表及第一章；质量须达到国家验收合格标准并满足合同约定的观感质量评定要求。</w:t>
      </w:r>
    </w:p>
    <w:p w14:paraId="33C828F3">
      <w:pPr>
        <w:spacing w:after="80" w:line="300" w:lineRule="auto"/>
        <w:jc w:val="both"/>
      </w:pPr>
      <w:r>
        <w:rPr>
          <w:rFonts w:ascii="黑体" w:hAnsi="黑体" w:eastAsia="黑体"/>
          <w:b/>
          <w:bCs/>
          <w:sz w:val="21"/>
          <w:szCs w:val="21"/>
        </w:rPr>
        <w:t xml:space="preserve">1.4 投标人资格  </w:t>
      </w:r>
      <w:r>
        <w:rPr>
          <w:rFonts w:ascii="Times New Roman" w:hAnsi="Times New Roman" w:eastAsia="宋体"/>
          <w:sz w:val="21"/>
          <w:szCs w:val="21"/>
        </w:rPr>
        <w:t>见前附表。与招标人存在利害关系可能影响招标公正性的法人，不得参加投标。单位负责人为同一人或存在控股、管理关系的不同单位，不得同时参加本项目投标。</w:t>
      </w:r>
    </w:p>
    <w:p w14:paraId="102C99EC">
      <w:pPr>
        <w:spacing w:after="80" w:line="300" w:lineRule="auto"/>
        <w:jc w:val="both"/>
      </w:pPr>
      <w:r>
        <w:rPr>
          <w:rFonts w:ascii="黑体" w:hAnsi="黑体" w:eastAsia="黑体"/>
          <w:b/>
          <w:bCs/>
          <w:sz w:val="21"/>
          <w:szCs w:val="21"/>
        </w:rPr>
        <w:t xml:space="preserve">1.5 费用承担  </w:t>
      </w:r>
      <w:r>
        <w:rPr>
          <w:rFonts w:ascii="Times New Roman" w:hAnsi="Times New Roman" w:eastAsia="宋体"/>
          <w:sz w:val="21"/>
          <w:szCs w:val="21"/>
        </w:rPr>
        <w:t>投标人准备和提交投标文件及参加投标所涉及的一切费用，均由投标人自理。</w:t>
      </w:r>
    </w:p>
    <w:p w14:paraId="29A96545">
      <w:pPr>
        <w:spacing w:after="80" w:line="300" w:lineRule="auto"/>
        <w:jc w:val="both"/>
      </w:pPr>
      <w:r>
        <w:rPr>
          <w:rFonts w:ascii="黑体" w:hAnsi="黑体" w:eastAsia="黑体"/>
          <w:b/>
          <w:bCs/>
          <w:sz w:val="21"/>
          <w:szCs w:val="21"/>
        </w:rPr>
        <w:t xml:space="preserve">1.6 保密  </w:t>
      </w:r>
      <w:r>
        <w:rPr>
          <w:rFonts w:ascii="Times New Roman" w:hAnsi="Times New Roman" w:eastAsia="宋体"/>
          <w:sz w:val="21"/>
          <w:szCs w:val="21"/>
        </w:rPr>
        <w:t>参与招标投标活动的各方应当对招标文件和投标文件中的商业和技术等秘密保密。</w:t>
      </w:r>
    </w:p>
    <w:p w14:paraId="0B88A9F7">
      <w:pPr>
        <w:spacing w:after="80" w:line="300" w:lineRule="auto"/>
        <w:jc w:val="both"/>
      </w:pPr>
      <w:r>
        <w:rPr>
          <w:rFonts w:ascii="黑体" w:hAnsi="黑体" w:eastAsia="黑体"/>
          <w:b/>
          <w:bCs/>
          <w:sz w:val="21"/>
          <w:szCs w:val="21"/>
        </w:rPr>
        <w:t xml:space="preserve">1.7 语言文字及计量单位  </w:t>
      </w:r>
      <w:r>
        <w:rPr>
          <w:rFonts w:ascii="Times New Roman" w:hAnsi="Times New Roman" w:eastAsia="宋体"/>
          <w:sz w:val="21"/>
          <w:szCs w:val="21"/>
        </w:rPr>
        <w:t>中文简体；中华人民共和国法定计量单位。</w:t>
      </w:r>
    </w:p>
    <w:p w14:paraId="3306E5E3">
      <w:pPr>
        <w:pStyle w:val="3"/>
      </w:pPr>
      <w:r>
        <w:rPr>
          <w:rFonts w:ascii="黑体" w:hAnsi="黑体" w:eastAsia="黑体"/>
          <w:b/>
          <w:bCs/>
          <w:color w:val="000000"/>
          <w:sz w:val="26"/>
          <w:szCs w:val="26"/>
        </w:rPr>
        <w:t>第三节  招标文件</w:t>
      </w:r>
    </w:p>
    <w:p w14:paraId="26D9C84D">
      <w:pPr>
        <w:spacing w:after="80" w:line="300" w:lineRule="auto"/>
        <w:jc w:val="both"/>
      </w:pPr>
      <w:r>
        <w:rPr>
          <w:rFonts w:ascii="黑体" w:hAnsi="黑体" w:eastAsia="黑体"/>
          <w:b/>
          <w:bCs/>
          <w:sz w:val="21"/>
          <w:szCs w:val="21"/>
        </w:rPr>
        <w:t xml:space="preserve">2.1 招标文件的构成  </w:t>
      </w:r>
      <w:r>
        <w:rPr>
          <w:rFonts w:ascii="Times New Roman" w:hAnsi="Times New Roman" w:eastAsia="宋体"/>
          <w:sz w:val="21"/>
          <w:szCs w:val="21"/>
        </w:rPr>
        <w:t>投标邀请书、投标人须知（含前附表）、评标办法、合同条款及格式、工程量清单、技术标准与要求、图纸、投标文件格式，以及按第2.2款发出的澄清和修改。</w:t>
      </w:r>
    </w:p>
    <w:p w14:paraId="1F7F3C90">
      <w:pPr>
        <w:spacing w:after="80" w:line="300" w:lineRule="auto"/>
        <w:jc w:val="both"/>
      </w:pPr>
      <w:r>
        <w:rPr>
          <w:rFonts w:ascii="黑体" w:hAnsi="黑体" w:eastAsia="黑体"/>
          <w:b/>
          <w:bCs/>
          <w:sz w:val="21"/>
          <w:szCs w:val="21"/>
        </w:rPr>
        <w:t xml:space="preserve">2.2 招标文件的澄清与修改  </w:t>
      </w:r>
      <w:r>
        <w:rPr>
          <w:rFonts w:ascii="Times New Roman" w:hAnsi="Times New Roman" w:eastAsia="宋体"/>
          <w:sz w:val="21"/>
          <w:szCs w:val="21"/>
        </w:rPr>
        <w:t>投标人若对招标文件有任何疑问，应在答疑截止时间前以书面形式提出；招标人对已发出的招标文件进行必要澄清或修改的，将在投标截止时间15日前以书面形式通知所有投标人。澄清或修改的内容为招标文件的组成部分。</w:t>
      </w:r>
    </w:p>
    <w:p w14:paraId="392A5A14">
      <w:pPr>
        <w:pStyle w:val="3"/>
      </w:pPr>
      <w:r>
        <w:rPr>
          <w:rFonts w:ascii="黑体" w:hAnsi="黑体" w:eastAsia="黑体"/>
          <w:b/>
          <w:bCs/>
          <w:color w:val="000000"/>
          <w:sz w:val="26"/>
          <w:szCs w:val="26"/>
        </w:rPr>
        <w:t>第四节  投标文件的编制</w:t>
      </w:r>
    </w:p>
    <w:p w14:paraId="7B86257C">
      <w:pPr>
        <w:spacing w:after="80" w:line="300" w:lineRule="auto"/>
        <w:jc w:val="both"/>
      </w:pPr>
      <w:r>
        <w:rPr>
          <w:rFonts w:ascii="黑体" w:hAnsi="黑体" w:eastAsia="黑体"/>
          <w:b/>
          <w:bCs/>
          <w:sz w:val="21"/>
          <w:szCs w:val="21"/>
        </w:rPr>
        <w:t xml:space="preserve">3.1 投标文件的组成  </w:t>
      </w:r>
      <w:r>
        <w:rPr>
          <w:rFonts w:ascii="Times New Roman" w:hAnsi="Times New Roman" w:eastAsia="宋体"/>
          <w:sz w:val="21"/>
          <w:szCs w:val="21"/>
        </w:rPr>
        <w:t>（1）投标函及投标函附录；（2）法定代表人身份证明或授权委托书；（3）投标保证金缴纳凭证；（4）已标价工程量清单及报价分析表；（5）技术标：深化设计方案、加工与安装能力、进度及质量保证措施、售后服务方案（暗标）；（6）资格审查资料：营业执照、资质证书、安全生产许可证、业绩证明、财务报表、项目管理人员证书、信用承诺等；（7）招标文件规定和投标人认为需提交的其他资料。</w:t>
      </w:r>
    </w:p>
    <w:p w14:paraId="3E006012">
      <w:pPr>
        <w:spacing w:after="80" w:line="300" w:lineRule="auto"/>
        <w:jc w:val="both"/>
      </w:pPr>
      <w:r>
        <w:rPr>
          <w:rFonts w:ascii="黑体" w:hAnsi="黑体" w:eastAsia="黑体"/>
          <w:b/>
          <w:bCs/>
          <w:sz w:val="21"/>
          <w:szCs w:val="21"/>
        </w:rPr>
        <w:t xml:space="preserve">3.2 报价编制要求  </w:t>
      </w:r>
      <w:r>
        <w:rPr>
          <w:rFonts w:ascii="Times New Roman" w:hAnsi="Times New Roman" w:eastAsia="宋体"/>
          <w:sz w:val="21"/>
          <w:szCs w:val="21"/>
        </w:rPr>
        <w:t>按第五章工程量清单逐项报价，综合单价包干，包含人工、材料、机械、运输、安装、检测、成品保护、管理费、利润、规费和税金（增值税专用发票，税率13%）。报价须明确型材、玻璃、五金品牌及配置参数。报价缺漏项视为包含在其他项目报价内。</w:t>
      </w:r>
    </w:p>
    <w:p w14:paraId="0AF3C71A">
      <w:pPr>
        <w:spacing w:after="80" w:line="300" w:lineRule="auto"/>
        <w:jc w:val="both"/>
      </w:pPr>
      <w:r>
        <w:rPr>
          <w:rFonts w:ascii="黑体" w:hAnsi="黑体" w:eastAsia="黑体"/>
          <w:b/>
          <w:bCs/>
          <w:sz w:val="21"/>
          <w:szCs w:val="21"/>
        </w:rPr>
        <w:t xml:space="preserve">3.3 投标有效期  </w:t>
      </w:r>
      <w:r>
        <w:rPr>
          <w:rFonts w:ascii="Times New Roman" w:hAnsi="Times New Roman" w:eastAsia="宋体"/>
          <w:sz w:val="21"/>
          <w:szCs w:val="21"/>
        </w:rPr>
        <w:t>自投标截止之日起90天。</w:t>
      </w:r>
    </w:p>
    <w:p w14:paraId="5F55954A">
      <w:pPr>
        <w:spacing w:after="80" w:line="300" w:lineRule="auto"/>
        <w:jc w:val="both"/>
      </w:pPr>
      <w:r>
        <w:rPr>
          <w:rFonts w:ascii="黑体" w:hAnsi="黑体" w:eastAsia="黑体"/>
          <w:b/>
          <w:bCs/>
          <w:sz w:val="21"/>
          <w:szCs w:val="21"/>
        </w:rPr>
        <w:t xml:space="preserve">3.4 投标保证金  </w:t>
      </w:r>
      <w:r>
        <w:rPr>
          <w:rFonts w:ascii="Times New Roman" w:hAnsi="Times New Roman" w:eastAsia="宋体"/>
          <w:sz w:val="21"/>
          <w:szCs w:val="21"/>
        </w:rPr>
        <w:t>金额见前附表。未按要求提交投标保证金的投标文件将被否决。投标人发生串标、弄虚作假、中标后无正当理由不签约等情形的，保证金不予退还。投标保证金不得超过招标项目估算价的2%，投标保证金有效期应当与投标有效期一致；招标人最迟应当在书面合同签订后5日内，向中标人和未中标的投标人退还投标保证金及银行同期存款利息。</w:t>
      </w:r>
    </w:p>
    <w:p w14:paraId="2BB7CFDC">
      <w:pPr>
        <w:spacing w:after="80" w:line="300" w:lineRule="auto"/>
        <w:jc w:val="both"/>
      </w:pPr>
      <w:r>
        <w:rPr>
          <w:rFonts w:ascii="黑体" w:hAnsi="黑体" w:eastAsia="黑体"/>
          <w:b/>
          <w:bCs/>
          <w:sz w:val="21"/>
          <w:szCs w:val="21"/>
        </w:rPr>
        <w:t xml:space="preserve">3.5 投标文件的份数与签章  </w:t>
      </w:r>
      <w:r>
        <w:rPr>
          <w:rFonts w:ascii="Times New Roman" w:hAnsi="Times New Roman" w:eastAsia="宋体"/>
          <w:sz w:val="21"/>
          <w:szCs w:val="21"/>
        </w:rPr>
        <w:t>见前附表。投标文件应打印装订，由法定代表人或其授权代理人签字并加盖单位公章，逐页小签。任何行间插字、涂改须由签署人在旁边签字确认。</w:t>
      </w:r>
    </w:p>
    <w:p w14:paraId="7D47F2DA">
      <w:pPr>
        <w:pStyle w:val="3"/>
      </w:pPr>
      <w:r>
        <w:rPr>
          <w:rFonts w:ascii="黑体" w:hAnsi="黑体" w:eastAsia="黑体"/>
          <w:b/>
          <w:bCs/>
          <w:color w:val="000000"/>
          <w:sz w:val="26"/>
          <w:szCs w:val="26"/>
        </w:rPr>
        <w:t>第五节  投标</w:t>
      </w:r>
    </w:p>
    <w:p w14:paraId="1F092509">
      <w:pPr>
        <w:spacing w:after="80" w:line="300" w:lineRule="auto"/>
        <w:jc w:val="both"/>
      </w:pPr>
      <w:r>
        <w:rPr>
          <w:rFonts w:ascii="黑体" w:hAnsi="黑体" w:eastAsia="黑体"/>
          <w:b/>
          <w:bCs/>
          <w:sz w:val="21"/>
          <w:szCs w:val="21"/>
        </w:rPr>
        <w:t xml:space="preserve">4.1 投标文件的密封与标记  </w:t>
      </w:r>
      <w:r>
        <w:rPr>
          <w:rFonts w:ascii="Times New Roman" w:hAnsi="Times New Roman" w:eastAsia="宋体"/>
          <w:sz w:val="21"/>
          <w:szCs w:val="21"/>
        </w:rPr>
        <w:t>商务标、技术标（暗标）分别密封，封套上标明招标编号、项目名称、正本或副本，封口处加盖投标人公章。技术标封套及内容不得出现任何可识别投标人身份的标记。</w:t>
      </w:r>
    </w:p>
    <w:p w14:paraId="69AE28D7">
      <w:pPr>
        <w:spacing w:after="80" w:line="300" w:lineRule="auto"/>
        <w:jc w:val="both"/>
      </w:pPr>
      <w:r>
        <w:rPr>
          <w:rFonts w:ascii="黑体" w:hAnsi="黑体" w:eastAsia="黑体"/>
          <w:b/>
          <w:bCs/>
          <w:sz w:val="21"/>
          <w:szCs w:val="21"/>
        </w:rPr>
        <w:t xml:space="preserve">4.2 投标文件的递交  </w:t>
      </w:r>
      <w:r>
        <w:rPr>
          <w:rFonts w:ascii="Times New Roman" w:hAnsi="Times New Roman" w:eastAsia="宋体"/>
          <w:sz w:val="21"/>
          <w:szCs w:val="21"/>
        </w:rPr>
        <w:t>在投标截止时间前送达开标地点，招标人拒绝接收逾期送达的投标文件。</w:t>
      </w:r>
    </w:p>
    <w:p w14:paraId="70644B31">
      <w:pPr>
        <w:spacing w:after="80" w:line="300" w:lineRule="auto"/>
        <w:jc w:val="both"/>
      </w:pPr>
      <w:r>
        <w:rPr>
          <w:rFonts w:ascii="黑体" w:hAnsi="黑体" w:eastAsia="黑体"/>
          <w:b/>
          <w:bCs/>
          <w:sz w:val="21"/>
          <w:szCs w:val="21"/>
        </w:rPr>
        <w:t xml:space="preserve">4.3 投标文件的修改与撤回  </w:t>
      </w:r>
      <w:r>
        <w:rPr>
          <w:rFonts w:ascii="Times New Roman" w:hAnsi="Times New Roman" w:eastAsia="宋体"/>
          <w:sz w:val="21"/>
          <w:szCs w:val="21"/>
        </w:rPr>
        <w:t>投标截止时间前，投标人可以书面形式修改或撤回已递交的投标文件；截止时间后不得修改。撤回的投标保证金按规定退还。</w:t>
      </w:r>
    </w:p>
    <w:p w14:paraId="73EE92EF">
      <w:pPr>
        <w:pStyle w:val="3"/>
      </w:pPr>
      <w:r>
        <w:rPr>
          <w:rFonts w:ascii="黑体" w:hAnsi="黑体" w:eastAsia="黑体"/>
          <w:b/>
          <w:bCs/>
          <w:color w:val="000000"/>
          <w:sz w:val="26"/>
          <w:szCs w:val="26"/>
        </w:rPr>
        <w:t>第六节  开标</w:t>
      </w:r>
    </w:p>
    <w:p w14:paraId="1A698ED8">
      <w:pPr>
        <w:spacing w:after="80" w:line="300" w:lineRule="auto"/>
        <w:jc w:val="both"/>
      </w:pPr>
      <w:r>
        <w:rPr>
          <w:rFonts w:ascii="黑体" w:hAnsi="黑体" w:eastAsia="黑体"/>
          <w:b/>
          <w:bCs/>
          <w:sz w:val="21"/>
          <w:szCs w:val="21"/>
        </w:rPr>
        <w:t xml:space="preserve">5.1 开标程序  </w:t>
      </w:r>
      <w:r>
        <w:rPr>
          <w:rFonts w:ascii="Times New Roman" w:hAnsi="Times New Roman" w:eastAsia="宋体"/>
          <w:sz w:val="21"/>
          <w:szCs w:val="21"/>
        </w:rPr>
        <w:t>（1）检查密封；（2）拆封唱标（宣读投标人名称、报价、工期、质量承诺等）；（3）开标记录由投标人代表签字确认；（4）投标人对开标有异议的，当场提出，招标人当场答复。</w:t>
      </w:r>
    </w:p>
    <w:p w14:paraId="2A43301C">
      <w:pPr>
        <w:pStyle w:val="3"/>
      </w:pPr>
      <w:r>
        <w:rPr>
          <w:rFonts w:ascii="黑体" w:hAnsi="黑体" w:eastAsia="黑体"/>
          <w:b/>
          <w:bCs/>
          <w:color w:val="000000"/>
          <w:sz w:val="26"/>
          <w:szCs w:val="26"/>
        </w:rPr>
        <w:t>第七节  评标</w:t>
      </w:r>
    </w:p>
    <w:p w14:paraId="01A41A63">
      <w:pPr>
        <w:spacing w:after="80" w:line="300" w:lineRule="auto"/>
        <w:jc w:val="both"/>
      </w:pPr>
      <w:r>
        <w:rPr>
          <w:rFonts w:ascii="黑体" w:hAnsi="黑体" w:eastAsia="黑体"/>
          <w:b/>
          <w:bCs/>
          <w:sz w:val="21"/>
          <w:szCs w:val="21"/>
        </w:rPr>
        <w:t xml:space="preserve">6.1 评标委员会  </w:t>
      </w:r>
      <w:r>
        <w:rPr>
          <w:rFonts w:ascii="Times New Roman" w:hAnsi="Times New Roman" w:eastAsia="宋体"/>
          <w:sz w:val="21"/>
          <w:szCs w:val="21"/>
        </w:rPr>
        <w:t>由5人以上单数组成，含技术、成本、工程管理专业人员，依法组建。</w:t>
      </w:r>
    </w:p>
    <w:p w14:paraId="426E9F1E">
      <w:pPr>
        <w:spacing w:after="80" w:line="300" w:lineRule="auto"/>
        <w:jc w:val="both"/>
      </w:pPr>
      <w:r>
        <w:rPr>
          <w:rFonts w:ascii="黑体" w:hAnsi="黑体" w:eastAsia="黑体"/>
          <w:b/>
          <w:bCs/>
          <w:sz w:val="21"/>
          <w:szCs w:val="21"/>
        </w:rPr>
        <w:t xml:space="preserve">6.2 评标程序  </w:t>
      </w:r>
      <w:r>
        <w:rPr>
          <w:rFonts w:ascii="Times New Roman" w:hAnsi="Times New Roman" w:eastAsia="宋体"/>
          <w:sz w:val="21"/>
          <w:szCs w:val="21"/>
        </w:rPr>
        <w:t>初步评审（资格性、符合性审查）→ 详细评审（商务标、技术标评分）→ 澄清→ 推荐中标候选人。</w:t>
      </w:r>
    </w:p>
    <w:p w14:paraId="5495B8D4">
      <w:pPr>
        <w:spacing w:after="80" w:line="300" w:lineRule="auto"/>
        <w:jc w:val="both"/>
      </w:pPr>
      <w:r>
        <w:rPr>
          <w:rFonts w:ascii="黑体" w:hAnsi="黑体" w:eastAsia="黑体"/>
          <w:b/>
          <w:bCs/>
          <w:sz w:val="21"/>
          <w:szCs w:val="21"/>
        </w:rPr>
        <w:t xml:space="preserve">6.3 否决投标的情形  </w:t>
      </w:r>
      <w:r>
        <w:rPr>
          <w:rFonts w:ascii="Times New Roman" w:hAnsi="Times New Roman" w:eastAsia="宋体"/>
          <w:sz w:val="21"/>
          <w:szCs w:val="21"/>
        </w:rPr>
        <w:t>（1）未按要求密封、签字盖章；（2）不具备资格条件或资格文件弄虚作假；（3）报价低于成本或高于招标控制价；（4）未按要求提交投标保证金；（5）串通投标、弄虚作假、行贿；（6）不满足招标文件实质性要求（工期、质量标准、付款条件、保修期等）；（7）组成联合体投标；（8）同一投标人提交两个以上不同投标版本且未声明哪一个有效；（9）法律规定的其他情形。</w:t>
      </w:r>
    </w:p>
    <w:p w14:paraId="71913B15">
      <w:pPr>
        <w:pStyle w:val="3"/>
      </w:pPr>
      <w:r>
        <w:rPr>
          <w:rFonts w:ascii="黑体" w:hAnsi="黑体" w:eastAsia="黑体"/>
          <w:b/>
          <w:bCs/>
          <w:color w:val="000000"/>
          <w:sz w:val="26"/>
          <w:szCs w:val="26"/>
        </w:rPr>
        <w:t>第八节  合同授予</w:t>
      </w:r>
    </w:p>
    <w:p w14:paraId="6399994D">
      <w:pPr>
        <w:spacing w:after="80" w:line="300" w:lineRule="auto"/>
        <w:jc w:val="both"/>
      </w:pPr>
      <w:r>
        <w:rPr>
          <w:rFonts w:ascii="黑体" w:hAnsi="黑体" w:eastAsia="黑体"/>
          <w:b/>
          <w:bCs/>
          <w:sz w:val="21"/>
          <w:szCs w:val="21"/>
        </w:rPr>
        <w:t xml:space="preserve">7.1 定标  </w:t>
      </w:r>
      <w:r>
        <w:rPr>
          <w:rFonts w:ascii="Times New Roman" w:hAnsi="Times New Roman" w:eastAsia="宋体"/>
          <w:sz w:val="21"/>
          <w:szCs w:val="21"/>
        </w:rPr>
        <w:t>评标委员会推荐综合得分前2名为中标候选人，经履约背调及招标人内部审批后确定中标人。</w:t>
      </w:r>
    </w:p>
    <w:p w14:paraId="578C7FE5">
      <w:pPr>
        <w:spacing w:after="80" w:line="300" w:lineRule="auto"/>
        <w:jc w:val="both"/>
      </w:pPr>
      <w:r>
        <w:rPr>
          <w:rFonts w:ascii="黑体" w:hAnsi="黑体" w:eastAsia="黑体"/>
          <w:b/>
          <w:bCs/>
          <w:sz w:val="21"/>
          <w:szCs w:val="21"/>
        </w:rPr>
        <w:t xml:space="preserve">7.2 中标通知  </w:t>
      </w:r>
      <w:r>
        <w:rPr>
          <w:rFonts w:ascii="Times New Roman" w:hAnsi="Times New Roman" w:eastAsia="宋体"/>
          <w:sz w:val="21"/>
          <w:szCs w:val="21"/>
        </w:rPr>
        <w:t>中标人确定后，招标人向中标人发出中标通知书，同时将中标结果书面通知未中标的投标人。</w:t>
      </w:r>
    </w:p>
    <w:p w14:paraId="5BF4F8AD">
      <w:pPr>
        <w:spacing w:after="80" w:line="300" w:lineRule="auto"/>
        <w:jc w:val="both"/>
      </w:pPr>
      <w:r>
        <w:rPr>
          <w:rFonts w:ascii="黑体" w:hAnsi="黑体" w:eastAsia="黑体"/>
          <w:b/>
          <w:bCs/>
          <w:sz w:val="21"/>
          <w:szCs w:val="21"/>
        </w:rPr>
        <w:t xml:space="preserve">7.3 签订合同  </w:t>
      </w:r>
      <w:r>
        <w:rPr>
          <w:rFonts w:ascii="Times New Roman" w:hAnsi="Times New Roman" w:eastAsia="宋体"/>
          <w:sz w:val="21"/>
          <w:szCs w:val="21"/>
        </w:rPr>
        <w:t>中标人应按投标文件和招标文件实质性内容，在规定时间内与招标人签订合同，不得再行订立背离合同实质性内容的其他协议。</w:t>
      </w:r>
    </w:p>
    <w:p w14:paraId="37410758">
      <w:pPr>
        <w:spacing w:after="80" w:line="300" w:lineRule="auto"/>
        <w:jc w:val="both"/>
      </w:pPr>
      <w:r>
        <w:rPr>
          <w:rFonts w:ascii="黑体" w:hAnsi="黑体" w:eastAsia="黑体"/>
          <w:b/>
          <w:bCs/>
          <w:sz w:val="21"/>
          <w:szCs w:val="21"/>
        </w:rPr>
        <w:t xml:space="preserve">7.4 履约担保  </w:t>
      </w:r>
      <w:r>
        <w:rPr>
          <w:rFonts w:ascii="Times New Roman" w:hAnsi="Times New Roman" w:eastAsia="宋体"/>
          <w:sz w:val="21"/>
          <w:szCs w:val="21"/>
        </w:rPr>
        <w:t>中标人在签订合同前提交合同价10%的履约银行保函，履约保证金不得超过中标合同金额的10%。</w:t>
      </w:r>
    </w:p>
    <w:p w14:paraId="508B665A">
      <w:pPr>
        <w:pStyle w:val="3"/>
      </w:pPr>
      <w:r>
        <w:rPr>
          <w:rFonts w:ascii="黑体" w:hAnsi="黑体" w:eastAsia="黑体"/>
          <w:b/>
          <w:bCs/>
          <w:color w:val="000000"/>
          <w:sz w:val="26"/>
          <w:szCs w:val="26"/>
        </w:rPr>
        <w:t>第九节  纪律与监督</w:t>
      </w:r>
    </w:p>
    <w:p w14:paraId="33572D0E">
      <w:pPr>
        <w:spacing w:after="80" w:line="300" w:lineRule="auto"/>
        <w:jc w:val="both"/>
      </w:pPr>
      <w:r>
        <w:rPr>
          <w:rFonts w:ascii="黑体" w:hAnsi="黑体" w:eastAsia="黑体"/>
          <w:b/>
          <w:bCs/>
          <w:sz w:val="21"/>
          <w:szCs w:val="21"/>
        </w:rPr>
        <w:t xml:space="preserve">8.1 对投标人的纪律要求  </w:t>
      </w:r>
      <w:r>
        <w:rPr>
          <w:rFonts w:ascii="Times New Roman" w:hAnsi="Times New Roman" w:eastAsia="宋体"/>
          <w:sz w:val="21"/>
          <w:szCs w:val="21"/>
        </w:rPr>
        <w:t>禁止串通投标、弄虚作假、以行贿手段谋取中标；禁止以任何方式干扰评标工作。</w:t>
      </w:r>
    </w:p>
    <w:p w14:paraId="01EEFD4A">
      <w:pPr>
        <w:spacing w:after="80" w:line="300" w:lineRule="auto"/>
        <w:jc w:val="both"/>
      </w:pPr>
      <w:r>
        <w:rPr>
          <w:rFonts w:ascii="黑体" w:hAnsi="黑体" w:eastAsia="黑体"/>
          <w:b/>
          <w:bCs/>
          <w:sz w:val="21"/>
          <w:szCs w:val="21"/>
        </w:rPr>
        <w:t xml:space="preserve">8.2 对招标人的纪律要求  </w:t>
      </w:r>
      <w:r>
        <w:rPr>
          <w:rFonts w:ascii="Times New Roman" w:hAnsi="Times New Roman" w:eastAsia="宋体"/>
          <w:sz w:val="21"/>
          <w:szCs w:val="21"/>
        </w:rPr>
        <w:t>招标人不得向他人透露潜在投标人名称、数量及可能影响公平竞争的评标信息。</w:t>
      </w:r>
    </w:p>
    <w:p w14:paraId="1148D0C2">
      <w:pPr>
        <w:spacing w:after="80" w:line="300" w:lineRule="auto"/>
        <w:jc w:val="both"/>
      </w:pPr>
      <w:r>
        <w:rPr>
          <w:rFonts w:ascii="黑体" w:hAnsi="黑体" w:eastAsia="黑体"/>
          <w:b/>
          <w:bCs/>
          <w:sz w:val="21"/>
          <w:szCs w:val="21"/>
        </w:rPr>
        <w:t xml:space="preserve">8.3 投诉  </w:t>
      </w:r>
      <w:r>
        <w:rPr>
          <w:rFonts w:ascii="Times New Roman" w:hAnsi="Times New Roman" w:eastAsia="宋体"/>
          <w:sz w:val="21"/>
          <w:szCs w:val="21"/>
        </w:rPr>
        <w:t>投标人或其他利害关系人认为招标投标活动不符合法律、行政法规规定的，可依法向招标人监督部门投诉。</w:t>
      </w:r>
    </w:p>
    <w:p w14:paraId="0497A032">
      <w:pPr>
        <w:pStyle w:val="2"/>
        <w:pageBreakBefore/>
      </w:pPr>
      <w:r>
        <w:rPr>
          <w:rFonts w:ascii="黑体" w:hAnsi="黑体" w:eastAsia="黑体"/>
          <w:b/>
          <w:bCs/>
          <w:color w:val="000000"/>
          <w:sz w:val="32"/>
          <w:szCs w:val="32"/>
        </w:rPr>
        <w:t>第三章  评标办法（综合评估法）</w:t>
      </w:r>
    </w:p>
    <w:p w14:paraId="7C4D6A61">
      <w:pPr>
        <w:pStyle w:val="3"/>
      </w:pPr>
      <w:r>
        <w:rPr>
          <w:rFonts w:ascii="黑体" w:hAnsi="黑体" w:eastAsia="黑体"/>
          <w:b/>
          <w:bCs/>
          <w:color w:val="000000"/>
          <w:sz w:val="26"/>
          <w:szCs w:val="26"/>
        </w:rPr>
        <w:t>3.1 评标方法</w:t>
      </w:r>
    </w:p>
    <w:p w14:paraId="67D83D01">
      <w:pPr>
        <w:spacing w:after="80" w:line="300" w:lineRule="auto"/>
        <w:ind w:firstLine="420"/>
        <w:jc w:val="both"/>
      </w:pPr>
      <w:r>
        <w:rPr>
          <w:rFonts w:ascii="Times New Roman" w:hAnsi="Times New Roman" w:eastAsia="宋体"/>
          <w:sz w:val="21"/>
          <w:szCs w:val="21"/>
        </w:rPr>
        <w:t>本次评标采用综合评估法。评标委员会对通过初步评审的投标文件，按本章规定的评分标准进行商务标和技术标评分，并按得分由高到低推荐中标候选人。评分采用百分制，保留小数点后两位。</w:t>
      </w:r>
    </w:p>
    <w:p w14:paraId="23696EC2">
      <w:pPr>
        <w:pStyle w:val="3"/>
      </w:pPr>
      <w:r>
        <w:rPr>
          <w:rFonts w:ascii="黑体" w:hAnsi="黑体" w:eastAsia="黑体"/>
          <w:b/>
          <w:bCs/>
          <w:color w:val="000000"/>
          <w:sz w:val="26"/>
          <w:szCs w:val="26"/>
        </w:rPr>
        <w:t>3.2 初步评审</w:t>
      </w:r>
    </w:p>
    <w:p w14:paraId="6A284412">
      <w:pPr>
        <w:spacing w:after="80" w:line="300" w:lineRule="auto"/>
        <w:ind w:firstLine="420"/>
        <w:jc w:val="both"/>
      </w:pPr>
      <w:r>
        <w:rPr>
          <w:rFonts w:ascii="Times New Roman" w:hAnsi="Times New Roman" w:eastAsia="宋体"/>
          <w:sz w:val="21"/>
          <w:szCs w:val="21"/>
        </w:rPr>
        <w:t>初步评审为资格性、符合性检查，包括：投标文件密封及签章有效性、资格条件的符合性、报价完整性、实质性响应（工期、质量、付款方式、保修期）。未通过初步评审的投标文件作否决处理，不再进入详细评审。</w:t>
      </w:r>
    </w:p>
    <w:p w14:paraId="5F884E09">
      <w:pPr>
        <w:pStyle w:val="3"/>
      </w:pPr>
      <w:r>
        <w:rPr>
          <w:rFonts w:ascii="黑体" w:hAnsi="黑体" w:eastAsia="黑体"/>
          <w:b/>
          <w:bCs/>
          <w:color w:val="000000"/>
          <w:sz w:val="26"/>
          <w:szCs w:val="26"/>
        </w:rPr>
        <w:t>3.3 详细评审评分标准（总分100分）</w:t>
      </w:r>
    </w:p>
    <w:p w14:paraId="619DEE76">
      <w:pPr>
        <w:spacing w:before="120" w:after="60"/>
        <w:jc w:val="center"/>
      </w:pPr>
      <w:r>
        <w:rPr>
          <w:rFonts w:ascii="黑体" w:hAnsi="黑体" w:eastAsia="黑体"/>
          <w:b/>
          <w:bCs/>
          <w:sz w:val="21"/>
          <w:szCs w:val="21"/>
        </w:rPr>
        <w:t>表3-1 综合评分表</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00"/>
        <w:gridCol w:w="900"/>
        <w:gridCol w:w="6026"/>
      </w:tblGrid>
      <w:tr w14:paraId="4E21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100" w:type="dxa"/>
            <w:tcBorders>
              <w:top w:val="single" w:color="999999" w:sz="4" w:space="0"/>
              <w:left w:val="single" w:color="999999" w:sz="4" w:space="0"/>
              <w:bottom w:val="single" w:color="999999" w:sz="4" w:space="0"/>
              <w:right w:val="single" w:color="999999" w:sz="4" w:space="0"/>
            </w:tcBorders>
            <w:shd w:val="clear" w:color="auto" w:fill="D9E2F3"/>
            <w:tcMar>
              <w:top w:w="60" w:type="dxa"/>
              <w:left w:w="100" w:type="dxa"/>
              <w:bottom w:w="60" w:type="dxa"/>
              <w:right w:w="100" w:type="dxa"/>
            </w:tcMar>
            <w:vAlign w:val="center"/>
          </w:tcPr>
          <w:p w14:paraId="23BB5C0C">
            <w:pPr>
              <w:spacing w:line="280" w:lineRule="auto"/>
              <w:jc w:val="center"/>
            </w:pPr>
            <w:r>
              <w:rPr>
                <w:rFonts w:ascii="Times New Roman" w:hAnsi="Times New Roman" w:eastAsia="宋体"/>
                <w:b/>
                <w:bCs/>
                <w:sz w:val="18"/>
                <w:szCs w:val="18"/>
              </w:rPr>
              <w:t>评分项目</w:t>
            </w:r>
          </w:p>
        </w:tc>
        <w:tc>
          <w:tcPr>
            <w:tcW w:w="900" w:type="dxa"/>
            <w:tcBorders>
              <w:top w:val="single" w:color="999999" w:sz="4" w:space="0"/>
              <w:left w:val="single" w:color="999999" w:sz="4" w:space="0"/>
              <w:bottom w:val="single" w:color="999999" w:sz="4" w:space="0"/>
              <w:right w:val="single" w:color="999999" w:sz="4" w:space="0"/>
            </w:tcBorders>
            <w:shd w:val="clear" w:color="auto" w:fill="D9E2F3"/>
            <w:tcMar>
              <w:top w:w="60" w:type="dxa"/>
              <w:left w:w="100" w:type="dxa"/>
              <w:bottom w:w="60" w:type="dxa"/>
              <w:right w:w="100" w:type="dxa"/>
            </w:tcMar>
            <w:vAlign w:val="center"/>
          </w:tcPr>
          <w:p w14:paraId="30878311">
            <w:pPr>
              <w:spacing w:line="280" w:lineRule="auto"/>
              <w:jc w:val="center"/>
            </w:pPr>
            <w:r>
              <w:rPr>
                <w:rFonts w:ascii="Times New Roman" w:hAnsi="Times New Roman" w:eastAsia="宋体"/>
                <w:b/>
                <w:bCs/>
                <w:sz w:val="18"/>
                <w:szCs w:val="18"/>
              </w:rPr>
              <w:t>分值</w:t>
            </w:r>
          </w:p>
        </w:tc>
        <w:tc>
          <w:tcPr>
            <w:tcW w:w="6026" w:type="dxa"/>
            <w:tcBorders>
              <w:top w:val="single" w:color="999999" w:sz="4" w:space="0"/>
              <w:left w:val="single" w:color="999999" w:sz="4" w:space="0"/>
              <w:bottom w:val="single" w:color="999999" w:sz="4" w:space="0"/>
              <w:right w:val="single" w:color="999999" w:sz="4" w:space="0"/>
            </w:tcBorders>
            <w:shd w:val="clear" w:color="auto" w:fill="D9E2F3"/>
            <w:tcMar>
              <w:top w:w="60" w:type="dxa"/>
              <w:left w:w="100" w:type="dxa"/>
              <w:bottom w:w="60" w:type="dxa"/>
              <w:right w:w="100" w:type="dxa"/>
            </w:tcMar>
            <w:vAlign w:val="center"/>
          </w:tcPr>
          <w:p w14:paraId="47A2A14F">
            <w:pPr>
              <w:spacing w:line="280" w:lineRule="auto"/>
              <w:jc w:val="center"/>
            </w:pPr>
            <w:r>
              <w:rPr>
                <w:rFonts w:ascii="Times New Roman" w:hAnsi="Times New Roman" w:eastAsia="宋体"/>
                <w:b/>
                <w:bCs/>
                <w:sz w:val="18"/>
                <w:szCs w:val="18"/>
              </w:rPr>
              <w:t>评分标准</w:t>
            </w:r>
          </w:p>
        </w:tc>
      </w:tr>
      <w:tr w14:paraId="727C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5D9D930">
            <w:pPr>
              <w:spacing w:line="280" w:lineRule="auto"/>
              <w:jc w:val="left"/>
            </w:pPr>
            <w:r>
              <w:rPr>
                <w:rFonts w:ascii="Times New Roman" w:hAnsi="Times New Roman" w:eastAsia="宋体"/>
                <w:b/>
                <w:bCs/>
                <w:sz w:val="18"/>
                <w:szCs w:val="18"/>
              </w:rPr>
              <w:t>投标报价</w:t>
            </w:r>
          </w:p>
        </w:tc>
        <w:tc>
          <w:tcPr>
            <w:tcW w:w="9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355F91E">
            <w:pPr>
              <w:spacing w:line="280" w:lineRule="auto"/>
              <w:jc w:val="center"/>
            </w:pPr>
            <w:r>
              <w:rPr>
                <w:rFonts w:ascii="Times New Roman" w:hAnsi="Times New Roman" w:eastAsia="宋体"/>
                <w:b w:val="0"/>
                <w:bCs w:val="0"/>
                <w:sz w:val="18"/>
                <w:szCs w:val="18"/>
              </w:rPr>
              <w:t>55</w:t>
            </w:r>
          </w:p>
        </w:tc>
        <w:tc>
          <w:tcPr>
            <w:tcW w:w="60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AD2139A">
            <w:pPr>
              <w:spacing w:line="280" w:lineRule="auto"/>
              <w:jc w:val="left"/>
            </w:pPr>
            <w:r>
              <w:rPr>
                <w:rFonts w:ascii="Times New Roman" w:hAnsi="Times New Roman" w:eastAsia="宋体"/>
                <w:b w:val="0"/>
                <w:bCs w:val="0"/>
                <w:sz w:val="18"/>
                <w:szCs w:val="18"/>
              </w:rPr>
              <w:t>基准价=有效投标评标价算术平均值×0.9</w:t>
            </w:r>
            <w:r>
              <w:rPr>
                <w:rFonts w:hint="eastAsia"/>
                <w:b w:val="0"/>
                <w:bCs w:val="0"/>
                <w:sz w:val="18"/>
                <w:szCs w:val="18"/>
                <w:lang w:val="en-US" w:eastAsia="zh-CN"/>
              </w:rPr>
              <w:t>0</w:t>
            </w:r>
            <w:r>
              <w:rPr>
                <w:rFonts w:ascii="Times New Roman" w:hAnsi="Times New Roman" w:eastAsia="宋体"/>
                <w:b w:val="0"/>
                <w:bCs w:val="0"/>
                <w:sz w:val="18"/>
                <w:szCs w:val="18"/>
              </w:rPr>
              <w:t>。每高于基准价1%扣1分，每低于基准价1%扣0.5分，中间值按插入法计算。报价低于成本经澄清仍无法证明合理性的，否决其投标且不参与基准价计算。</w:t>
            </w:r>
          </w:p>
        </w:tc>
      </w:tr>
      <w:tr w14:paraId="2CAE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E9175F1">
            <w:pPr>
              <w:spacing w:line="280" w:lineRule="auto"/>
              <w:jc w:val="left"/>
            </w:pPr>
            <w:r>
              <w:rPr>
                <w:rFonts w:ascii="Times New Roman" w:hAnsi="Times New Roman" w:eastAsia="宋体"/>
                <w:b/>
                <w:bCs/>
                <w:sz w:val="18"/>
                <w:szCs w:val="18"/>
              </w:rPr>
              <w:t>深化设计方案</w:t>
            </w:r>
          </w:p>
        </w:tc>
        <w:tc>
          <w:tcPr>
            <w:tcW w:w="9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A3D2E6C">
            <w:pPr>
              <w:spacing w:line="280" w:lineRule="auto"/>
              <w:jc w:val="center"/>
            </w:pPr>
            <w:r>
              <w:rPr>
                <w:rFonts w:ascii="Times New Roman" w:hAnsi="Times New Roman" w:eastAsia="宋体"/>
                <w:b w:val="0"/>
                <w:bCs w:val="0"/>
                <w:sz w:val="18"/>
                <w:szCs w:val="18"/>
              </w:rPr>
              <w:t>10</w:t>
            </w:r>
          </w:p>
        </w:tc>
        <w:tc>
          <w:tcPr>
            <w:tcW w:w="60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654A297">
            <w:pPr>
              <w:spacing w:line="280" w:lineRule="auto"/>
              <w:jc w:val="left"/>
            </w:pPr>
            <w:r>
              <w:rPr>
                <w:rFonts w:ascii="Times New Roman" w:hAnsi="Times New Roman" w:eastAsia="宋体"/>
                <w:b w:val="0"/>
                <w:bCs w:val="0"/>
                <w:sz w:val="18"/>
                <w:szCs w:val="18"/>
              </w:rPr>
              <w:t>节点构造合理性、水密气密构造、与结构及节能计算符合性（0-10分）</w:t>
            </w:r>
          </w:p>
        </w:tc>
      </w:tr>
      <w:tr w14:paraId="18DF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ED379DF">
            <w:pPr>
              <w:spacing w:line="280" w:lineRule="auto"/>
              <w:jc w:val="left"/>
            </w:pPr>
            <w:r>
              <w:rPr>
                <w:rFonts w:ascii="Times New Roman" w:hAnsi="Times New Roman" w:eastAsia="宋体"/>
                <w:b/>
                <w:bCs/>
                <w:sz w:val="18"/>
                <w:szCs w:val="18"/>
              </w:rPr>
              <w:t>加工与安装能力</w:t>
            </w:r>
          </w:p>
        </w:tc>
        <w:tc>
          <w:tcPr>
            <w:tcW w:w="9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BC034C6">
            <w:pPr>
              <w:spacing w:line="280" w:lineRule="auto"/>
              <w:jc w:val="center"/>
            </w:pPr>
            <w:r>
              <w:rPr>
                <w:rFonts w:ascii="Times New Roman" w:hAnsi="Times New Roman" w:eastAsia="宋体"/>
                <w:b w:val="0"/>
                <w:bCs w:val="0"/>
                <w:sz w:val="18"/>
                <w:szCs w:val="18"/>
              </w:rPr>
              <w:t>10</w:t>
            </w:r>
          </w:p>
        </w:tc>
        <w:tc>
          <w:tcPr>
            <w:tcW w:w="60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72E5418">
            <w:pPr>
              <w:spacing w:line="280" w:lineRule="auto"/>
              <w:jc w:val="left"/>
            </w:pPr>
            <w:r>
              <w:rPr>
                <w:rFonts w:ascii="Times New Roman" w:hAnsi="Times New Roman" w:eastAsia="宋体"/>
                <w:b w:val="0"/>
                <w:bCs w:val="0"/>
                <w:sz w:val="18"/>
                <w:szCs w:val="18"/>
              </w:rPr>
              <w:t>自有厂房、自动化生产线、拟投入班组、月供应能力（0-10分）</w:t>
            </w:r>
          </w:p>
        </w:tc>
      </w:tr>
      <w:tr w14:paraId="28B6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907C30F">
            <w:pPr>
              <w:spacing w:line="280" w:lineRule="auto"/>
              <w:jc w:val="left"/>
            </w:pPr>
            <w:r>
              <w:rPr>
                <w:rFonts w:ascii="Times New Roman" w:hAnsi="Times New Roman" w:eastAsia="宋体"/>
                <w:b/>
                <w:bCs/>
                <w:sz w:val="18"/>
                <w:szCs w:val="18"/>
              </w:rPr>
              <w:t>同类工程业绩</w:t>
            </w:r>
          </w:p>
        </w:tc>
        <w:tc>
          <w:tcPr>
            <w:tcW w:w="9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A047612">
            <w:pPr>
              <w:spacing w:line="280" w:lineRule="auto"/>
              <w:jc w:val="center"/>
            </w:pPr>
            <w:r>
              <w:rPr>
                <w:rFonts w:ascii="Times New Roman" w:hAnsi="Times New Roman" w:eastAsia="宋体"/>
                <w:b w:val="0"/>
                <w:bCs w:val="0"/>
                <w:sz w:val="18"/>
                <w:szCs w:val="18"/>
              </w:rPr>
              <w:t>8</w:t>
            </w:r>
          </w:p>
        </w:tc>
        <w:tc>
          <w:tcPr>
            <w:tcW w:w="60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FD58C60">
            <w:pPr>
              <w:spacing w:line="280" w:lineRule="auto"/>
              <w:jc w:val="left"/>
            </w:pPr>
            <w:r>
              <w:rPr>
                <w:rFonts w:ascii="Times New Roman" w:hAnsi="Times New Roman" w:eastAsia="宋体"/>
                <w:b w:val="0"/>
                <w:bCs w:val="0"/>
                <w:sz w:val="18"/>
                <w:szCs w:val="18"/>
              </w:rPr>
              <w:t>标杆房企合作业绩每项2分（上限8分）；一般住宅业绩每项1分（上限4分）</w:t>
            </w:r>
          </w:p>
        </w:tc>
      </w:tr>
      <w:tr w14:paraId="390A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C44EA60">
            <w:pPr>
              <w:spacing w:line="280" w:lineRule="auto"/>
              <w:jc w:val="left"/>
            </w:pPr>
            <w:r>
              <w:rPr>
                <w:rFonts w:ascii="Times New Roman" w:hAnsi="Times New Roman" w:eastAsia="宋体"/>
                <w:b/>
                <w:bCs/>
                <w:sz w:val="18"/>
                <w:szCs w:val="18"/>
              </w:rPr>
              <w:t>进度及质量保证措施</w:t>
            </w:r>
          </w:p>
        </w:tc>
        <w:tc>
          <w:tcPr>
            <w:tcW w:w="9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B242819">
            <w:pPr>
              <w:spacing w:line="280" w:lineRule="auto"/>
              <w:jc w:val="center"/>
            </w:pPr>
            <w:r>
              <w:rPr>
                <w:rFonts w:ascii="Times New Roman" w:hAnsi="Times New Roman" w:eastAsia="宋体"/>
                <w:b w:val="0"/>
                <w:bCs w:val="0"/>
                <w:sz w:val="18"/>
                <w:szCs w:val="18"/>
              </w:rPr>
              <w:t>8</w:t>
            </w:r>
          </w:p>
        </w:tc>
        <w:tc>
          <w:tcPr>
            <w:tcW w:w="60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F3EEA45">
            <w:pPr>
              <w:spacing w:line="280" w:lineRule="auto"/>
              <w:jc w:val="left"/>
            </w:pPr>
            <w:r>
              <w:rPr>
                <w:rFonts w:ascii="Times New Roman" w:hAnsi="Times New Roman" w:eastAsia="宋体"/>
                <w:b w:val="0"/>
                <w:bCs w:val="0"/>
                <w:sz w:val="18"/>
                <w:szCs w:val="18"/>
              </w:rPr>
              <w:t>供货周期、成品保护、渗漏防治、交叉作业配合方案（0-8分）</w:t>
            </w:r>
          </w:p>
        </w:tc>
      </w:tr>
      <w:tr w14:paraId="29E7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F8E52FF">
            <w:pPr>
              <w:spacing w:line="280" w:lineRule="auto"/>
              <w:jc w:val="left"/>
            </w:pPr>
            <w:r>
              <w:rPr>
                <w:rFonts w:ascii="Times New Roman" w:hAnsi="Times New Roman" w:eastAsia="宋体"/>
                <w:b/>
                <w:bCs/>
                <w:sz w:val="18"/>
                <w:szCs w:val="18"/>
              </w:rPr>
              <w:t>售后服务</w:t>
            </w:r>
          </w:p>
        </w:tc>
        <w:tc>
          <w:tcPr>
            <w:tcW w:w="9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8E9043D">
            <w:pPr>
              <w:spacing w:line="280" w:lineRule="auto"/>
              <w:jc w:val="center"/>
            </w:pPr>
            <w:r>
              <w:rPr>
                <w:rFonts w:ascii="Times New Roman" w:hAnsi="Times New Roman" w:eastAsia="宋体"/>
                <w:b w:val="0"/>
                <w:bCs w:val="0"/>
                <w:sz w:val="18"/>
                <w:szCs w:val="18"/>
              </w:rPr>
              <w:t>5</w:t>
            </w:r>
          </w:p>
        </w:tc>
        <w:tc>
          <w:tcPr>
            <w:tcW w:w="60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0BB311D">
            <w:pPr>
              <w:spacing w:line="280" w:lineRule="auto"/>
              <w:jc w:val="left"/>
            </w:pPr>
            <w:r>
              <w:rPr>
                <w:rFonts w:ascii="Times New Roman" w:hAnsi="Times New Roman" w:eastAsia="宋体"/>
                <w:b w:val="0"/>
                <w:bCs w:val="0"/>
                <w:sz w:val="18"/>
                <w:szCs w:val="18"/>
              </w:rPr>
              <w:t>2小时响应、24小时到场及保修期外维保承诺（0-5分）</w:t>
            </w:r>
          </w:p>
        </w:tc>
      </w:tr>
      <w:tr w14:paraId="3837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C2DACBA">
            <w:pPr>
              <w:spacing w:line="280" w:lineRule="auto"/>
              <w:jc w:val="left"/>
            </w:pPr>
            <w:r>
              <w:rPr>
                <w:rFonts w:ascii="Times New Roman" w:hAnsi="Times New Roman" w:eastAsia="宋体"/>
                <w:b/>
                <w:bCs/>
                <w:sz w:val="18"/>
                <w:szCs w:val="18"/>
              </w:rPr>
              <w:t>付款条件响应</w:t>
            </w:r>
          </w:p>
        </w:tc>
        <w:tc>
          <w:tcPr>
            <w:tcW w:w="9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8521AA6">
            <w:pPr>
              <w:spacing w:line="280" w:lineRule="auto"/>
              <w:jc w:val="center"/>
            </w:pPr>
            <w:r>
              <w:rPr>
                <w:rFonts w:ascii="Times New Roman" w:hAnsi="Times New Roman" w:eastAsia="宋体"/>
                <w:b w:val="0"/>
                <w:bCs w:val="0"/>
                <w:sz w:val="18"/>
                <w:szCs w:val="18"/>
              </w:rPr>
              <w:t>4</w:t>
            </w:r>
          </w:p>
        </w:tc>
        <w:tc>
          <w:tcPr>
            <w:tcW w:w="60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9B010CC">
            <w:pPr>
              <w:spacing w:line="280" w:lineRule="auto"/>
              <w:jc w:val="left"/>
            </w:pPr>
            <w:r>
              <w:rPr>
                <w:rFonts w:ascii="Times New Roman" w:hAnsi="Times New Roman" w:eastAsia="宋体"/>
                <w:b w:val="0"/>
                <w:bCs w:val="0"/>
                <w:sz w:val="18"/>
                <w:szCs w:val="18"/>
              </w:rPr>
              <w:t>对招标文件付款条件的响应与优惠（0-4分）</w:t>
            </w:r>
          </w:p>
        </w:tc>
      </w:tr>
    </w:tbl>
    <w:p w14:paraId="19F34A17">
      <w:pPr>
        <w:pStyle w:val="3"/>
      </w:pPr>
      <w:r>
        <w:rPr>
          <w:rFonts w:ascii="黑体" w:hAnsi="黑体" w:eastAsia="黑体"/>
          <w:b/>
          <w:bCs/>
          <w:color w:val="000000"/>
          <w:sz w:val="26"/>
          <w:szCs w:val="26"/>
        </w:rPr>
        <w:t>3.4 推荐中标候选人</w:t>
      </w:r>
    </w:p>
    <w:p w14:paraId="0A807095">
      <w:pPr>
        <w:spacing w:after="80" w:line="300" w:lineRule="auto"/>
        <w:ind w:firstLine="420"/>
        <w:jc w:val="both"/>
      </w:pPr>
      <w:r>
        <w:rPr>
          <w:rFonts w:ascii="Times New Roman" w:hAnsi="Times New Roman" w:eastAsia="宋体"/>
          <w:sz w:val="21"/>
          <w:szCs w:val="21"/>
        </w:rPr>
        <w:t>评标委员会按综合得分由高到低排序，推荐前2名为中标候选人并标明排序。得分相同的，报价低者优先；报价也相同的，业绩优者优先。经招标人对第一中标候选人履约背调无重大问题后确定中标人。有效投标不足3家时，本次招标失败，重新组织招标。</w:t>
      </w:r>
    </w:p>
    <w:p w14:paraId="651FA217">
      <w:pPr>
        <w:pStyle w:val="2"/>
        <w:pageBreakBefore/>
      </w:pPr>
      <w:r>
        <w:rPr>
          <w:rFonts w:ascii="黑体" w:hAnsi="黑体" w:eastAsia="黑体"/>
          <w:b/>
          <w:bCs/>
          <w:color w:val="000000"/>
          <w:sz w:val="32"/>
          <w:szCs w:val="32"/>
        </w:rPr>
        <w:t>第四章  合同条款及格式</w:t>
      </w:r>
    </w:p>
    <w:p w14:paraId="5B29D70E">
      <w:pPr>
        <w:pStyle w:val="3"/>
      </w:pPr>
      <w:r>
        <w:rPr>
          <w:rFonts w:ascii="黑体" w:hAnsi="黑体" w:eastAsia="黑体"/>
          <w:b/>
          <w:bCs/>
          <w:color w:val="000000"/>
          <w:sz w:val="26"/>
          <w:szCs w:val="26"/>
        </w:rPr>
        <w:t>4.1 合同协议书（格式）</w:t>
      </w:r>
    </w:p>
    <w:p w14:paraId="6D4646AA">
      <w:pPr>
        <w:spacing w:after="80" w:line="300" w:lineRule="auto"/>
        <w:jc w:val="both"/>
      </w:pPr>
      <w:r>
        <w:rPr>
          <w:rFonts w:ascii="Times New Roman" w:hAnsi="Times New Roman" w:eastAsia="宋体"/>
          <w:sz w:val="21"/>
          <w:szCs w:val="21"/>
        </w:rPr>
        <w:t>发包人（甲方）：湖北省宏安房地产开发有限公司</w:t>
      </w:r>
    </w:p>
    <w:p w14:paraId="3B48960C">
      <w:pPr>
        <w:spacing w:after="80" w:line="300" w:lineRule="auto"/>
        <w:jc w:val="both"/>
      </w:pPr>
      <w:r>
        <w:rPr>
          <w:rFonts w:ascii="Times New Roman" w:hAnsi="Times New Roman" w:eastAsia="宋体"/>
          <w:sz w:val="21"/>
          <w:szCs w:val="21"/>
        </w:rPr>
        <w:t>承包人（乙方）：</w:t>
      </w:r>
    </w:p>
    <w:p w14:paraId="22E5272D">
      <w:pPr>
        <w:spacing w:after="80" w:line="300" w:lineRule="auto"/>
        <w:ind w:firstLine="420"/>
        <w:jc w:val="both"/>
      </w:pPr>
      <w:r>
        <w:rPr>
          <w:rFonts w:ascii="Times New Roman" w:hAnsi="Times New Roman" w:eastAsia="宋体"/>
          <w:sz w:val="21"/>
          <w:szCs w:val="21"/>
        </w:rPr>
        <w:t>依照《中华人民共和国民法典》《中华人民共和国建筑法》及有关法律、法规，双方就宜昌市西陵区危旧房改造项目（西陵二路35号新华印刷厂地块及珍珠路39号嘉明花园地块）玻璃门窗及栏板工程施工事项协商一致，订立本协议。</w:t>
      </w:r>
    </w:p>
    <w:p w14:paraId="63F6CF43">
      <w:pPr>
        <w:spacing w:after="80" w:line="300" w:lineRule="auto"/>
        <w:jc w:val="both"/>
      </w:pPr>
      <w:r>
        <w:rPr>
          <w:rFonts w:ascii="黑体" w:hAnsi="黑体" w:eastAsia="黑体"/>
          <w:b/>
          <w:bCs/>
          <w:sz w:val="21"/>
          <w:szCs w:val="21"/>
        </w:rPr>
        <w:t xml:space="preserve">一、工程概况：  </w:t>
      </w:r>
      <w:r>
        <w:rPr>
          <w:rFonts w:ascii="Times New Roman" w:hAnsi="Times New Roman" w:eastAsia="宋体"/>
          <w:sz w:val="21"/>
          <w:szCs w:val="21"/>
        </w:rPr>
        <w:t>工程名称、地点、分包范围见本合同附件一《工程范围及内容》。</w:t>
      </w:r>
    </w:p>
    <w:p w14:paraId="6F1F880E">
      <w:pPr>
        <w:spacing w:after="80" w:line="300" w:lineRule="auto"/>
        <w:jc w:val="both"/>
      </w:pPr>
      <w:r>
        <w:rPr>
          <w:rFonts w:ascii="黑体" w:hAnsi="黑体" w:eastAsia="黑体"/>
          <w:b/>
          <w:bCs/>
          <w:sz w:val="21"/>
          <w:szCs w:val="21"/>
        </w:rPr>
        <w:t xml:space="preserve">二、承包方式：  </w:t>
      </w:r>
      <w:r>
        <w:rPr>
          <w:rFonts w:ascii="Times New Roman" w:hAnsi="Times New Roman" w:eastAsia="宋体"/>
          <w:sz w:val="21"/>
          <w:szCs w:val="21"/>
        </w:rPr>
        <w:t>包工包料（含深化设计、材料供应、加工制作、运输、安装、检测、保修）的专业分包。</w:t>
      </w:r>
    </w:p>
    <w:p w14:paraId="12F9EB70">
      <w:pPr>
        <w:spacing w:after="80" w:line="300" w:lineRule="auto"/>
        <w:jc w:val="both"/>
      </w:pPr>
      <w:r>
        <w:rPr>
          <w:rFonts w:ascii="黑体" w:hAnsi="黑体" w:eastAsia="黑体"/>
          <w:b/>
          <w:bCs/>
          <w:sz w:val="21"/>
          <w:szCs w:val="21"/>
        </w:rPr>
        <w:t xml:space="preserve">三、合同价款：  </w:t>
      </w:r>
      <w:r>
        <w:rPr>
          <w:rFonts w:ascii="Times New Roman" w:hAnsi="Times New Roman" w:eastAsia="宋体"/>
          <w:sz w:val="21"/>
          <w:szCs w:val="21"/>
        </w:rPr>
        <w:t>总价人民币（大写）                （¥          ），综合单价包干，据实结算。</w:t>
      </w:r>
    </w:p>
    <w:p w14:paraId="115903A3">
      <w:pPr>
        <w:spacing w:after="80" w:line="300" w:lineRule="auto"/>
        <w:jc w:val="both"/>
      </w:pPr>
      <w:r>
        <w:rPr>
          <w:rFonts w:ascii="黑体" w:hAnsi="黑体" w:eastAsia="黑体"/>
          <w:b/>
          <w:bCs/>
          <w:sz w:val="21"/>
          <w:szCs w:val="21"/>
        </w:rPr>
        <w:t xml:space="preserve">四、工期：  </w:t>
      </w:r>
      <w:r>
        <w:rPr>
          <w:rFonts w:ascii="Times New Roman" w:hAnsi="Times New Roman" w:eastAsia="宋体"/>
          <w:sz w:val="21"/>
          <w:szCs w:val="21"/>
        </w:rPr>
        <w:t>深化设计确认、供货安装节点以总包进度计划为准；质保期自竣工验收合格之日起2年（防水密封部位5年）。</w:t>
      </w:r>
    </w:p>
    <w:p w14:paraId="77060FFD">
      <w:pPr>
        <w:spacing w:after="80" w:line="300" w:lineRule="auto"/>
        <w:jc w:val="both"/>
      </w:pPr>
      <w:r>
        <w:rPr>
          <w:rFonts w:ascii="黑体" w:hAnsi="黑体" w:eastAsia="黑体"/>
          <w:b/>
          <w:bCs/>
          <w:sz w:val="21"/>
          <w:szCs w:val="21"/>
        </w:rPr>
        <w:t xml:space="preserve">五、质量标准：  </w:t>
      </w:r>
      <w:r>
        <w:rPr>
          <w:rFonts w:ascii="Times New Roman" w:hAnsi="Times New Roman" w:eastAsia="宋体"/>
          <w:sz w:val="21"/>
          <w:szCs w:val="21"/>
        </w:rPr>
        <w:t>符合国家现行验收规范及本合同技术标准，一次验收合格。</w:t>
      </w:r>
    </w:p>
    <w:p w14:paraId="23B42652">
      <w:pPr>
        <w:spacing w:after="80" w:line="300" w:lineRule="auto"/>
        <w:jc w:val="both"/>
      </w:pPr>
      <w:r>
        <w:rPr>
          <w:rFonts w:ascii="黑体" w:hAnsi="黑体" w:eastAsia="黑体"/>
          <w:b/>
          <w:bCs/>
          <w:sz w:val="21"/>
          <w:szCs w:val="21"/>
        </w:rPr>
        <w:t xml:space="preserve">六、付款方式：  </w:t>
      </w:r>
      <w:r>
        <w:rPr>
          <w:rFonts w:ascii="Times New Roman" w:hAnsi="Times New Roman" w:eastAsia="宋体"/>
          <w:sz w:val="21"/>
          <w:szCs w:val="21"/>
        </w:rPr>
        <w:t>按本合同专用条款约定执行。</w:t>
      </w:r>
    </w:p>
    <w:p w14:paraId="5B8AE211">
      <w:pPr>
        <w:spacing w:after="80" w:line="300" w:lineRule="auto"/>
        <w:jc w:val="both"/>
      </w:pPr>
      <w:r>
        <w:rPr>
          <w:rFonts w:ascii="黑体" w:hAnsi="黑体" w:eastAsia="黑体"/>
          <w:b/>
          <w:bCs/>
          <w:sz w:val="21"/>
          <w:szCs w:val="21"/>
        </w:rPr>
        <w:t xml:space="preserve">七、组成合同的文件：  </w:t>
      </w:r>
      <w:r>
        <w:rPr>
          <w:rFonts w:ascii="Times New Roman" w:hAnsi="Times New Roman" w:eastAsia="宋体"/>
          <w:sz w:val="21"/>
          <w:szCs w:val="21"/>
        </w:rPr>
        <w:t>本协议书、中标通知书、投标函及附录、专用条款、通用条款、技术标准与要求、已标价工程量清单、图纸及双方确认的补充文件。</w:t>
      </w:r>
    </w:p>
    <w:p w14:paraId="65BCBD21">
      <w:pPr>
        <w:spacing w:after="80" w:line="300" w:lineRule="auto"/>
        <w:jc w:val="both"/>
      </w:pPr>
      <w:r>
        <w:rPr>
          <w:rFonts w:ascii="黑体" w:hAnsi="黑体" w:eastAsia="黑体"/>
          <w:b/>
          <w:bCs/>
          <w:sz w:val="21"/>
          <w:szCs w:val="21"/>
        </w:rPr>
        <w:t xml:space="preserve">八、其他：  </w:t>
      </w:r>
      <w:r>
        <w:rPr>
          <w:rFonts w:ascii="Times New Roman" w:hAnsi="Times New Roman" w:eastAsia="宋体"/>
          <w:sz w:val="21"/>
          <w:szCs w:val="21"/>
        </w:rPr>
        <w:t>本协议书与合同其他文件不一致时，按上述优先顺序解释。合同一式陆份，甲乙双方各执叁份。</w:t>
      </w:r>
    </w:p>
    <w:p w14:paraId="5CC569C4">
      <w:pPr>
        <w:pStyle w:val="3"/>
      </w:pPr>
      <w:r>
        <w:rPr>
          <w:rFonts w:ascii="黑体" w:hAnsi="黑体" w:eastAsia="黑体"/>
          <w:b/>
          <w:bCs/>
          <w:color w:val="000000"/>
          <w:sz w:val="26"/>
          <w:szCs w:val="26"/>
        </w:rPr>
        <w:t>4.2 专用条款要点</w:t>
      </w:r>
    </w:p>
    <w:p w14:paraId="787BD64A">
      <w:pPr>
        <w:spacing w:before="120" w:after="60"/>
        <w:jc w:val="center"/>
      </w:pPr>
      <w:r>
        <w:rPr>
          <w:rFonts w:ascii="黑体" w:hAnsi="黑体" w:eastAsia="黑体"/>
          <w:b/>
          <w:bCs/>
          <w:sz w:val="21"/>
          <w:szCs w:val="21"/>
        </w:rPr>
        <w:t>表4-1 合同专用条款要点</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00"/>
        <w:gridCol w:w="6826"/>
      </w:tblGrid>
      <w:tr w14:paraId="51C86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2200" w:type="dxa"/>
            <w:tcBorders>
              <w:top w:val="single" w:color="999999" w:sz="4" w:space="0"/>
              <w:left w:val="single" w:color="999999" w:sz="4" w:space="0"/>
              <w:bottom w:val="single" w:color="999999" w:sz="4" w:space="0"/>
              <w:right w:val="single" w:color="999999" w:sz="4" w:space="0"/>
            </w:tcBorders>
            <w:shd w:val="clear" w:color="auto" w:fill="D9E2F3"/>
            <w:tcMar>
              <w:top w:w="60" w:type="dxa"/>
              <w:left w:w="100" w:type="dxa"/>
              <w:bottom w:w="60" w:type="dxa"/>
              <w:right w:w="100" w:type="dxa"/>
            </w:tcMar>
            <w:vAlign w:val="center"/>
          </w:tcPr>
          <w:p w14:paraId="1F9B08D7">
            <w:pPr>
              <w:spacing w:line="280" w:lineRule="auto"/>
              <w:jc w:val="center"/>
            </w:pPr>
            <w:r>
              <w:rPr>
                <w:rFonts w:ascii="Times New Roman" w:hAnsi="Times New Roman" w:eastAsia="宋体"/>
                <w:b/>
                <w:bCs/>
                <w:sz w:val="18"/>
                <w:szCs w:val="18"/>
              </w:rPr>
              <w:t>条款</w:t>
            </w:r>
          </w:p>
        </w:tc>
        <w:tc>
          <w:tcPr>
            <w:tcW w:w="6826" w:type="dxa"/>
            <w:tcBorders>
              <w:top w:val="single" w:color="999999" w:sz="4" w:space="0"/>
              <w:left w:val="single" w:color="999999" w:sz="4" w:space="0"/>
              <w:bottom w:val="single" w:color="999999" w:sz="4" w:space="0"/>
              <w:right w:val="single" w:color="999999" w:sz="4" w:space="0"/>
            </w:tcBorders>
            <w:shd w:val="clear" w:color="auto" w:fill="D9E2F3"/>
            <w:tcMar>
              <w:top w:w="60" w:type="dxa"/>
              <w:left w:w="100" w:type="dxa"/>
              <w:bottom w:w="60" w:type="dxa"/>
              <w:right w:w="100" w:type="dxa"/>
            </w:tcMar>
            <w:vAlign w:val="center"/>
          </w:tcPr>
          <w:p w14:paraId="3C2F3199">
            <w:pPr>
              <w:spacing w:line="280" w:lineRule="auto"/>
              <w:jc w:val="center"/>
            </w:pPr>
            <w:r>
              <w:rPr>
                <w:rFonts w:ascii="Times New Roman" w:hAnsi="Times New Roman" w:eastAsia="宋体"/>
                <w:b/>
                <w:bCs/>
                <w:sz w:val="18"/>
                <w:szCs w:val="18"/>
              </w:rPr>
              <w:t>约定内容</w:t>
            </w:r>
          </w:p>
        </w:tc>
      </w:tr>
      <w:tr w14:paraId="44D4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048B117">
            <w:pPr>
              <w:spacing w:line="280" w:lineRule="auto"/>
              <w:jc w:val="left"/>
            </w:pPr>
            <w:r>
              <w:rPr>
                <w:rFonts w:ascii="Times New Roman" w:hAnsi="Times New Roman" w:eastAsia="宋体"/>
                <w:b/>
                <w:bCs/>
                <w:sz w:val="18"/>
                <w:szCs w:val="18"/>
              </w:rPr>
              <w:t>工期与误期</w:t>
            </w:r>
          </w:p>
        </w:tc>
        <w:tc>
          <w:tcPr>
            <w:tcW w:w="68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6D65B6D">
            <w:pPr>
              <w:spacing w:line="280" w:lineRule="auto"/>
              <w:jc w:val="left"/>
            </w:pPr>
            <w:r>
              <w:rPr>
                <w:rFonts w:ascii="Times New Roman" w:hAnsi="Times New Roman" w:eastAsia="宋体"/>
                <w:b w:val="0"/>
                <w:bCs w:val="0"/>
                <w:sz w:val="18"/>
                <w:szCs w:val="18"/>
              </w:rPr>
              <w:t>满足总包月度计划；每延误一天按合同暂定价款0.5‰计违约金，累计不超过5%。</w:t>
            </w:r>
          </w:p>
        </w:tc>
      </w:tr>
      <w:tr w14:paraId="2D14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53A3523">
            <w:pPr>
              <w:spacing w:line="280" w:lineRule="auto"/>
              <w:jc w:val="left"/>
            </w:pPr>
            <w:r>
              <w:rPr>
                <w:rFonts w:ascii="Times New Roman" w:hAnsi="Times New Roman" w:eastAsia="宋体"/>
                <w:b/>
                <w:bCs/>
                <w:sz w:val="18"/>
                <w:szCs w:val="18"/>
              </w:rPr>
              <w:t>付款方式</w:t>
            </w:r>
          </w:p>
        </w:tc>
        <w:tc>
          <w:tcPr>
            <w:tcW w:w="68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66FBDC9">
            <w:pPr>
              <w:spacing w:line="280" w:lineRule="auto"/>
              <w:jc w:val="left"/>
            </w:pPr>
            <w:r>
              <w:rPr>
                <w:rFonts w:hint="eastAsia"/>
                <w:b w:val="0"/>
                <w:bCs w:val="0"/>
                <w:sz w:val="18"/>
                <w:szCs w:val="18"/>
                <w:lang w:val="en-US" w:eastAsia="zh-CN"/>
              </w:rPr>
              <w:t>无预付款</w:t>
            </w:r>
            <w:r>
              <w:rPr>
                <w:rFonts w:ascii="Times New Roman" w:hAnsi="Times New Roman" w:eastAsia="宋体"/>
                <w:b w:val="0"/>
                <w:bCs w:val="0"/>
                <w:sz w:val="18"/>
                <w:szCs w:val="18"/>
              </w:rPr>
              <w:t>；月进度款按完成量</w:t>
            </w:r>
            <w:r>
              <w:rPr>
                <w:rFonts w:hint="eastAsia"/>
                <w:b w:val="0"/>
                <w:bCs w:val="0"/>
                <w:sz w:val="18"/>
                <w:szCs w:val="18"/>
                <w:lang w:val="en-US" w:eastAsia="zh-CN"/>
              </w:rPr>
              <w:t>6</w:t>
            </w:r>
            <w:r>
              <w:rPr>
                <w:rFonts w:ascii="Times New Roman" w:hAnsi="Times New Roman" w:eastAsia="宋体"/>
                <w:b w:val="0"/>
                <w:bCs w:val="0"/>
                <w:sz w:val="18"/>
                <w:szCs w:val="18"/>
              </w:rPr>
              <w:t>0%支付；竣工验收结算后付至97%；质保金3%（可用保函替代）期满无息退还。</w:t>
            </w:r>
          </w:p>
        </w:tc>
      </w:tr>
      <w:tr w14:paraId="4671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1B95F4AF">
            <w:pPr>
              <w:spacing w:line="280" w:lineRule="auto"/>
              <w:jc w:val="left"/>
            </w:pPr>
            <w:r>
              <w:rPr>
                <w:rFonts w:ascii="Times New Roman" w:hAnsi="Times New Roman" w:eastAsia="宋体"/>
                <w:b/>
                <w:bCs/>
                <w:sz w:val="18"/>
                <w:szCs w:val="18"/>
              </w:rPr>
              <w:t>价格调差</w:t>
            </w:r>
          </w:p>
        </w:tc>
        <w:tc>
          <w:tcPr>
            <w:tcW w:w="68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4753678">
            <w:pPr>
              <w:spacing w:line="280" w:lineRule="auto"/>
              <w:jc w:val="left"/>
            </w:pPr>
            <w:r>
              <w:rPr>
                <w:rFonts w:ascii="Times New Roman" w:hAnsi="Times New Roman" w:eastAsia="宋体"/>
                <w:b w:val="0"/>
                <w:bCs w:val="0"/>
                <w:sz w:val="18"/>
                <w:szCs w:val="18"/>
              </w:rPr>
              <w:t>以投标截止日前30天上海长江有色金属网A00铝现货均价为基准，波动超过±5%时对型材价款按净用量双向调差，±5%以内不调。</w:t>
            </w:r>
          </w:p>
        </w:tc>
      </w:tr>
      <w:tr w14:paraId="367D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21ACC37">
            <w:pPr>
              <w:spacing w:line="280" w:lineRule="auto"/>
              <w:jc w:val="left"/>
            </w:pPr>
            <w:r>
              <w:rPr>
                <w:rFonts w:ascii="Times New Roman" w:hAnsi="Times New Roman" w:eastAsia="宋体"/>
                <w:b/>
                <w:bCs/>
                <w:sz w:val="18"/>
                <w:szCs w:val="18"/>
              </w:rPr>
              <w:t>质量与保修</w:t>
            </w:r>
          </w:p>
        </w:tc>
        <w:tc>
          <w:tcPr>
            <w:tcW w:w="68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9B208AA">
            <w:pPr>
              <w:spacing w:line="280" w:lineRule="auto"/>
              <w:jc w:val="left"/>
            </w:pPr>
            <w:r>
              <w:rPr>
                <w:rFonts w:ascii="Times New Roman" w:hAnsi="Times New Roman" w:eastAsia="宋体"/>
                <w:b w:val="0"/>
                <w:bCs w:val="0"/>
                <w:sz w:val="18"/>
                <w:szCs w:val="18"/>
              </w:rPr>
              <w:t>保修期2年，防水密封部位5年；2小时响应、24小时到场；拖延维修的，甲方可另行委托并从质保金扣除费用。</w:t>
            </w:r>
          </w:p>
        </w:tc>
      </w:tr>
      <w:tr w14:paraId="5058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38386DB">
            <w:pPr>
              <w:spacing w:line="280" w:lineRule="auto"/>
              <w:jc w:val="left"/>
            </w:pPr>
            <w:r>
              <w:rPr>
                <w:rFonts w:ascii="Times New Roman" w:hAnsi="Times New Roman" w:eastAsia="宋体"/>
                <w:b/>
                <w:bCs/>
                <w:sz w:val="18"/>
                <w:szCs w:val="18"/>
              </w:rPr>
              <w:t>材料管理</w:t>
            </w:r>
          </w:p>
        </w:tc>
        <w:tc>
          <w:tcPr>
            <w:tcW w:w="68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6699EC5">
            <w:pPr>
              <w:spacing w:line="280" w:lineRule="auto"/>
              <w:jc w:val="left"/>
            </w:pPr>
            <w:r>
              <w:rPr>
                <w:rFonts w:ascii="Times New Roman" w:hAnsi="Times New Roman" w:eastAsia="宋体"/>
                <w:b w:val="0"/>
                <w:bCs w:val="0"/>
                <w:sz w:val="18"/>
                <w:szCs w:val="18"/>
              </w:rPr>
              <w:t>型材、玻璃、五金须与封样一致，进场报验并见证复验；擅自替换的按批次货值20%扣款并限期更换。</w:t>
            </w:r>
          </w:p>
        </w:tc>
      </w:tr>
      <w:tr w14:paraId="3FF9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A0CBCE0">
            <w:pPr>
              <w:spacing w:line="280" w:lineRule="auto"/>
              <w:jc w:val="left"/>
            </w:pPr>
            <w:r>
              <w:rPr>
                <w:rFonts w:ascii="Times New Roman" w:hAnsi="Times New Roman" w:eastAsia="宋体"/>
                <w:b/>
                <w:bCs/>
                <w:sz w:val="18"/>
                <w:szCs w:val="18"/>
              </w:rPr>
              <w:t>禁止转包</w:t>
            </w:r>
          </w:p>
        </w:tc>
        <w:tc>
          <w:tcPr>
            <w:tcW w:w="68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C6153EB">
            <w:pPr>
              <w:spacing w:line="280" w:lineRule="auto"/>
              <w:jc w:val="left"/>
            </w:pPr>
            <w:r>
              <w:rPr>
                <w:rFonts w:ascii="Times New Roman" w:hAnsi="Times New Roman" w:eastAsia="宋体"/>
                <w:b w:val="0"/>
                <w:bCs w:val="0"/>
                <w:sz w:val="18"/>
                <w:szCs w:val="18"/>
              </w:rPr>
              <w:t>严禁转包及违法分包，违者解除合同并按合同价10%追偿。</w:t>
            </w:r>
          </w:p>
        </w:tc>
      </w:tr>
      <w:tr w14:paraId="4FB3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F2800A5">
            <w:pPr>
              <w:spacing w:line="280" w:lineRule="auto"/>
              <w:jc w:val="left"/>
            </w:pPr>
            <w:r>
              <w:rPr>
                <w:rFonts w:ascii="Times New Roman" w:hAnsi="Times New Roman" w:eastAsia="宋体"/>
                <w:b/>
                <w:bCs/>
                <w:sz w:val="18"/>
                <w:szCs w:val="18"/>
              </w:rPr>
              <w:t>安全文明</w:t>
            </w:r>
          </w:p>
        </w:tc>
        <w:tc>
          <w:tcPr>
            <w:tcW w:w="68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008194B">
            <w:pPr>
              <w:spacing w:line="280" w:lineRule="auto"/>
              <w:jc w:val="left"/>
            </w:pPr>
            <w:r>
              <w:rPr>
                <w:rFonts w:ascii="Times New Roman" w:hAnsi="Times New Roman" w:eastAsia="宋体"/>
                <w:b w:val="0"/>
                <w:bCs w:val="0"/>
                <w:sz w:val="18"/>
                <w:szCs w:val="18"/>
              </w:rPr>
              <w:t>遵守总包现场管理制度；吊篮及临边作业编制专项方案；发生安全责任事故由乙方承担全部责任及损失。</w:t>
            </w:r>
          </w:p>
        </w:tc>
      </w:tr>
      <w:tr w14:paraId="0853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84BCB8D">
            <w:pPr>
              <w:spacing w:line="280" w:lineRule="auto"/>
              <w:jc w:val="left"/>
            </w:pPr>
            <w:r>
              <w:rPr>
                <w:rFonts w:ascii="Times New Roman" w:hAnsi="Times New Roman" w:eastAsia="宋体"/>
                <w:b/>
                <w:bCs/>
                <w:sz w:val="18"/>
                <w:szCs w:val="18"/>
              </w:rPr>
              <w:t>争议解决</w:t>
            </w:r>
          </w:p>
        </w:tc>
        <w:tc>
          <w:tcPr>
            <w:tcW w:w="68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ED03043">
            <w:pPr>
              <w:spacing w:line="280" w:lineRule="auto"/>
              <w:jc w:val="left"/>
            </w:pPr>
            <w:r>
              <w:rPr>
                <w:rFonts w:ascii="Times New Roman" w:hAnsi="Times New Roman" w:eastAsia="宋体"/>
                <w:b w:val="0"/>
                <w:bCs w:val="0"/>
                <w:sz w:val="18"/>
                <w:szCs w:val="18"/>
              </w:rPr>
              <w:t>协商不成向工程所在地人民法院起诉。</w:t>
            </w:r>
          </w:p>
        </w:tc>
      </w:tr>
    </w:tbl>
    <w:p w14:paraId="238C66FF">
      <w:pPr>
        <w:pStyle w:val="2"/>
        <w:pageBreakBefore/>
        <w:rPr>
          <w:rFonts w:hint="eastAsia" w:eastAsia="黑体"/>
          <w:lang w:val="en-US" w:eastAsia="zh-CN"/>
        </w:rPr>
      </w:pPr>
      <w:r>
        <w:rPr>
          <w:rFonts w:ascii="黑体" w:hAnsi="黑体" w:eastAsia="黑体"/>
          <w:b/>
          <w:bCs/>
          <w:color w:val="000000"/>
          <w:sz w:val="32"/>
          <w:szCs w:val="32"/>
        </w:rPr>
        <w:t>第五章  工程量清单</w:t>
      </w:r>
      <w:r>
        <w:rPr>
          <w:rFonts w:hint="eastAsia"/>
          <w:b/>
          <w:bCs/>
          <w:color w:val="000000"/>
          <w:sz w:val="32"/>
          <w:szCs w:val="32"/>
          <w:lang w:eastAsia="zh-CN"/>
        </w:rPr>
        <w:t>（</w:t>
      </w:r>
      <w:r>
        <w:rPr>
          <w:rFonts w:hint="eastAsia"/>
          <w:b/>
          <w:bCs/>
          <w:color w:val="000000"/>
          <w:sz w:val="32"/>
          <w:szCs w:val="32"/>
          <w:lang w:val="en-US" w:eastAsia="zh-CN"/>
        </w:rPr>
        <w:t>详见附件</w:t>
      </w:r>
      <w:r>
        <w:rPr>
          <w:rFonts w:hint="eastAsia"/>
          <w:b/>
          <w:bCs/>
          <w:color w:val="000000"/>
          <w:sz w:val="32"/>
          <w:szCs w:val="32"/>
          <w:lang w:eastAsia="zh-CN"/>
        </w:rPr>
        <w:t>）</w:t>
      </w:r>
    </w:p>
    <w:p w14:paraId="02FC1986">
      <w:pPr>
        <w:pStyle w:val="3"/>
      </w:pPr>
      <w:r>
        <w:rPr>
          <w:rFonts w:ascii="黑体" w:hAnsi="黑体" w:eastAsia="黑体"/>
          <w:b/>
          <w:bCs/>
          <w:color w:val="000000"/>
          <w:sz w:val="26"/>
          <w:szCs w:val="26"/>
        </w:rPr>
        <w:t>5.1 清单说明</w:t>
      </w:r>
    </w:p>
    <w:p w14:paraId="4428B350">
      <w:pPr>
        <w:pStyle w:val="17"/>
        <w:numPr>
          <w:ilvl w:val="0"/>
          <w:numId w:val="1"/>
        </w:numPr>
        <w:spacing w:after="60" w:line="300" w:lineRule="auto"/>
        <w:jc w:val="both"/>
      </w:pPr>
      <w:r>
        <w:rPr>
          <w:rFonts w:hint="eastAsia" w:ascii="Times New Roman" w:hAnsi="Times New Roman" w:eastAsia="宋体"/>
          <w:sz w:val="21"/>
          <w:szCs w:val="21"/>
        </w:rPr>
        <w:t>本工程采用总价包干，清单工程量为包干工程量；综合单价包括人工、材料、工期、机械、赶工费、二次深化设计费、各类检测试验配合费（包括但不限于门窗七性检测、淋水试验、节能检测等），不可预见费、保险费、制作、装车费、运输、成品保护、垃圾清运、保洁、施工资料编制及质量保修、验收、措施费、管理费、损耗、利润、税金等达到图纸、招标方的技术要求所需的一切费用</w:t>
      </w:r>
      <w:r>
        <w:rPr>
          <w:rFonts w:ascii="Times New Roman" w:hAnsi="Times New Roman" w:eastAsia="宋体"/>
          <w:sz w:val="21"/>
          <w:szCs w:val="21"/>
        </w:rPr>
        <w:t>；</w:t>
      </w:r>
    </w:p>
    <w:p w14:paraId="7D8C7A37">
      <w:pPr>
        <w:pStyle w:val="17"/>
        <w:numPr>
          <w:ilvl w:val="0"/>
          <w:numId w:val="1"/>
        </w:numPr>
        <w:spacing w:after="60" w:line="300" w:lineRule="auto"/>
        <w:jc w:val="both"/>
      </w:pPr>
      <w:r>
        <w:rPr>
          <w:rFonts w:hint="eastAsia"/>
          <w:sz w:val="21"/>
          <w:szCs w:val="21"/>
          <w:lang w:val="en-US" w:eastAsia="zh-CN"/>
        </w:rPr>
        <w:t>其他内容详见附件</w:t>
      </w:r>
    </w:p>
    <w:p w14:paraId="52B3DD26">
      <w:pPr>
        <w:pStyle w:val="3"/>
      </w:pPr>
      <w:r>
        <w:rPr>
          <w:rFonts w:ascii="黑体" w:hAnsi="黑体" w:eastAsia="黑体"/>
          <w:b/>
          <w:bCs/>
          <w:color w:val="000000"/>
          <w:sz w:val="26"/>
          <w:szCs w:val="26"/>
        </w:rPr>
        <w:t>5.2 工程量清单（</w:t>
      </w:r>
      <w:r>
        <w:rPr>
          <w:rFonts w:hint="eastAsia"/>
          <w:b/>
          <w:bCs/>
          <w:color w:val="000000"/>
          <w:sz w:val="26"/>
          <w:szCs w:val="26"/>
          <w:lang w:val="en-US" w:eastAsia="zh-CN"/>
        </w:rPr>
        <w:t>详见附件</w:t>
      </w:r>
      <w:r>
        <w:rPr>
          <w:rFonts w:ascii="黑体" w:hAnsi="黑体" w:eastAsia="黑体"/>
          <w:b/>
          <w:bCs/>
          <w:color w:val="000000"/>
          <w:sz w:val="26"/>
          <w:szCs w:val="26"/>
        </w:rPr>
        <w:t>）</w:t>
      </w:r>
    </w:p>
    <w:p w14:paraId="4852EAA7">
      <w:pPr>
        <w:pStyle w:val="2"/>
        <w:pageBreakBefore/>
      </w:pPr>
      <w:r>
        <w:rPr>
          <w:rFonts w:ascii="黑体" w:hAnsi="黑体" w:eastAsia="黑体"/>
          <w:b/>
          <w:bCs/>
          <w:color w:val="000000"/>
          <w:sz w:val="32"/>
          <w:szCs w:val="32"/>
        </w:rPr>
        <w:t>第六章  技术标准与要求</w:t>
      </w:r>
    </w:p>
    <w:p w14:paraId="6870B591">
      <w:pPr>
        <w:pStyle w:val="3"/>
        <w:rPr>
          <w:rFonts w:ascii="黑体" w:hAnsi="黑体" w:eastAsia="黑体"/>
          <w:b/>
          <w:bCs/>
          <w:color w:val="000000"/>
          <w:sz w:val="26"/>
          <w:szCs w:val="26"/>
        </w:rPr>
      </w:pPr>
      <w:r>
        <w:rPr>
          <w:rFonts w:ascii="黑体" w:hAnsi="黑体" w:eastAsia="黑体"/>
          <w:b/>
          <w:bCs/>
          <w:color w:val="000000"/>
          <w:sz w:val="26"/>
          <w:szCs w:val="26"/>
        </w:rPr>
        <w:t>6.1 主要材料技术参数</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4"/>
        <w:gridCol w:w="1424"/>
        <w:gridCol w:w="1426"/>
        <w:gridCol w:w="3553"/>
        <w:gridCol w:w="1959"/>
      </w:tblGrid>
      <w:tr w14:paraId="4EA76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000" w:type="pct"/>
            <w:gridSpan w:val="5"/>
            <w:tcBorders>
              <w:top w:val="nil"/>
              <w:left w:val="nil"/>
              <w:bottom w:val="nil"/>
              <w:right w:val="nil"/>
            </w:tcBorders>
            <w:shd w:val="clear" w:color="auto" w:fill="auto"/>
            <w:noWrap/>
            <w:vAlign w:val="center"/>
          </w:tcPr>
          <w:p w14:paraId="42F3635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乙供品牌/厂家材料设备表</w:t>
            </w:r>
          </w:p>
        </w:tc>
      </w:tr>
      <w:tr w14:paraId="75263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27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A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一级科目</w:t>
            </w: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66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二级科目</w:t>
            </w: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F5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甲限乙供品牌</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0B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投标品牌</w:t>
            </w:r>
          </w:p>
        </w:tc>
      </w:tr>
      <w:tr w14:paraId="7C0A8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A0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71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型材及喷涂</w:t>
            </w: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B2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铝合金型材</w:t>
            </w: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FBC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坚美、兴发、凤铝、亚铝、裕华、伟业、中旅、振升</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56C6A">
            <w:pPr>
              <w:jc w:val="center"/>
              <w:rPr>
                <w:rFonts w:hint="eastAsia" w:ascii="宋体" w:hAnsi="宋体" w:eastAsia="宋体" w:cs="宋体"/>
                <w:i w:val="0"/>
                <w:iCs w:val="0"/>
                <w:color w:val="000000"/>
                <w:sz w:val="20"/>
                <w:szCs w:val="20"/>
                <w:u w:val="none"/>
              </w:rPr>
            </w:pPr>
          </w:p>
        </w:tc>
      </w:tr>
      <w:tr w14:paraId="2B758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EF82B">
            <w:pPr>
              <w:jc w:val="center"/>
              <w:rPr>
                <w:rFonts w:hint="eastAsia" w:ascii="宋体" w:hAnsi="宋体" w:eastAsia="宋体" w:cs="宋体"/>
                <w:i w:val="0"/>
                <w:iCs w:val="0"/>
                <w:color w:val="000000"/>
                <w:sz w:val="20"/>
                <w:szCs w:val="20"/>
                <w:u w:val="none"/>
              </w:rPr>
            </w:pPr>
          </w:p>
        </w:tc>
        <w:tc>
          <w:tcPr>
            <w:tcW w:w="7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60AC8">
            <w:pPr>
              <w:jc w:val="center"/>
              <w:rPr>
                <w:rFonts w:hint="eastAsia" w:ascii="宋体" w:hAnsi="宋体" w:eastAsia="宋体" w:cs="宋体"/>
                <w:i w:val="0"/>
                <w:iCs w:val="0"/>
                <w:color w:val="000000"/>
                <w:sz w:val="20"/>
                <w:szCs w:val="20"/>
                <w:u w:val="none"/>
              </w:rPr>
            </w:pP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8C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塑钢型材</w:t>
            </w: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986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中财、海螺、皇家</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A3738">
            <w:pPr>
              <w:jc w:val="center"/>
              <w:rPr>
                <w:rFonts w:hint="eastAsia" w:ascii="宋体" w:hAnsi="宋体" w:eastAsia="宋体" w:cs="宋体"/>
                <w:i w:val="0"/>
                <w:iCs w:val="0"/>
                <w:color w:val="000000"/>
                <w:sz w:val="20"/>
                <w:szCs w:val="20"/>
                <w:u w:val="none"/>
              </w:rPr>
            </w:pPr>
          </w:p>
        </w:tc>
      </w:tr>
      <w:tr w14:paraId="5C3C6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84561">
            <w:pPr>
              <w:jc w:val="center"/>
              <w:rPr>
                <w:rFonts w:hint="eastAsia" w:ascii="宋体" w:hAnsi="宋体" w:eastAsia="宋体" w:cs="宋体"/>
                <w:i w:val="0"/>
                <w:iCs w:val="0"/>
                <w:color w:val="000000"/>
                <w:sz w:val="20"/>
                <w:szCs w:val="20"/>
                <w:u w:val="none"/>
              </w:rPr>
            </w:pPr>
          </w:p>
        </w:tc>
        <w:tc>
          <w:tcPr>
            <w:tcW w:w="7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D7407">
            <w:pPr>
              <w:jc w:val="center"/>
              <w:rPr>
                <w:rFonts w:hint="eastAsia" w:ascii="宋体" w:hAnsi="宋体" w:eastAsia="宋体" w:cs="宋体"/>
                <w:i w:val="0"/>
                <w:iCs w:val="0"/>
                <w:color w:val="000000"/>
                <w:sz w:val="20"/>
                <w:szCs w:val="20"/>
                <w:u w:val="none"/>
              </w:rPr>
            </w:pP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E8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粉末喷涂的粉料</w:t>
            </w: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221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PPG、AKZO、Tiger</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10117">
            <w:pPr>
              <w:jc w:val="center"/>
              <w:rPr>
                <w:rFonts w:hint="eastAsia" w:ascii="宋体" w:hAnsi="宋体" w:eastAsia="宋体" w:cs="宋体"/>
                <w:i w:val="0"/>
                <w:iCs w:val="0"/>
                <w:color w:val="000000"/>
                <w:sz w:val="20"/>
                <w:szCs w:val="20"/>
                <w:u w:val="none"/>
              </w:rPr>
            </w:pPr>
          </w:p>
        </w:tc>
      </w:tr>
      <w:tr w14:paraId="41262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CC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714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w:t>
            </w: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D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玻璃原片</w:t>
            </w: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C13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南玻、耀皮、信义、台玻，三峡新材、金晶</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70BA7">
            <w:pPr>
              <w:jc w:val="center"/>
              <w:rPr>
                <w:rFonts w:hint="eastAsia" w:ascii="宋体" w:hAnsi="宋体" w:eastAsia="宋体" w:cs="宋体"/>
                <w:i w:val="0"/>
                <w:iCs w:val="0"/>
                <w:color w:val="000000"/>
                <w:sz w:val="20"/>
                <w:szCs w:val="20"/>
                <w:u w:val="none"/>
              </w:rPr>
            </w:pPr>
          </w:p>
        </w:tc>
      </w:tr>
      <w:tr w14:paraId="568CD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E69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2A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五金及配件</w:t>
            </w: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4B893">
            <w:pPr>
              <w:jc w:val="left"/>
              <w:rPr>
                <w:rFonts w:hint="eastAsia" w:ascii="宋体" w:hAnsi="宋体" w:eastAsia="宋体" w:cs="宋体"/>
                <w:i w:val="0"/>
                <w:iCs w:val="0"/>
                <w:color w:val="000000"/>
                <w:sz w:val="20"/>
                <w:szCs w:val="20"/>
                <w:u w:val="none"/>
              </w:rPr>
            </w:pP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8AD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坚朗、杨氏立兴、合和、兴三星</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FFB5F">
            <w:pPr>
              <w:jc w:val="center"/>
              <w:rPr>
                <w:rFonts w:hint="eastAsia" w:ascii="宋体" w:hAnsi="宋体" w:eastAsia="宋体" w:cs="宋体"/>
                <w:i w:val="0"/>
                <w:iCs w:val="0"/>
                <w:color w:val="000000"/>
                <w:sz w:val="20"/>
                <w:szCs w:val="20"/>
                <w:u w:val="none"/>
              </w:rPr>
            </w:pPr>
          </w:p>
        </w:tc>
      </w:tr>
      <w:tr w14:paraId="63F50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F1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8C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耐候密封胶</w:t>
            </w: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957EB">
            <w:pPr>
              <w:jc w:val="center"/>
              <w:rPr>
                <w:rFonts w:hint="eastAsia" w:ascii="宋体" w:hAnsi="宋体" w:eastAsia="宋体" w:cs="宋体"/>
                <w:i w:val="0"/>
                <w:iCs w:val="0"/>
                <w:color w:val="000000"/>
                <w:sz w:val="20"/>
                <w:szCs w:val="20"/>
                <w:u w:val="none"/>
              </w:rPr>
            </w:pP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2FF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安泰、白云、之江、硅宝、中原</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49396">
            <w:pPr>
              <w:jc w:val="center"/>
              <w:rPr>
                <w:rFonts w:hint="eastAsia" w:ascii="宋体" w:hAnsi="宋体" w:eastAsia="宋体" w:cs="宋体"/>
                <w:i w:val="0"/>
                <w:iCs w:val="0"/>
                <w:color w:val="000000"/>
                <w:sz w:val="20"/>
                <w:szCs w:val="20"/>
                <w:u w:val="none"/>
              </w:rPr>
            </w:pPr>
          </w:p>
        </w:tc>
      </w:tr>
      <w:tr w14:paraId="5BED3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2F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C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型材断面胶</w:t>
            </w: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4C728">
            <w:pPr>
              <w:jc w:val="center"/>
              <w:rPr>
                <w:rFonts w:hint="eastAsia" w:ascii="宋体" w:hAnsi="宋体" w:eastAsia="宋体" w:cs="宋体"/>
                <w:i w:val="0"/>
                <w:iCs w:val="0"/>
                <w:color w:val="000000"/>
                <w:sz w:val="20"/>
                <w:szCs w:val="20"/>
                <w:u w:val="none"/>
              </w:rPr>
            </w:pP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F12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安泰、白云、之江、硅宝、中原</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B59DE">
            <w:pPr>
              <w:jc w:val="center"/>
              <w:rPr>
                <w:rFonts w:hint="eastAsia" w:ascii="宋体" w:hAnsi="宋体" w:eastAsia="宋体" w:cs="宋体"/>
                <w:i w:val="0"/>
                <w:iCs w:val="0"/>
                <w:color w:val="000000"/>
                <w:sz w:val="20"/>
                <w:szCs w:val="20"/>
                <w:u w:val="none"/>
              </w:rPr>
            </w:pPr>
          </w:p>
        </w:tc>
      </w:tr>
      <w:tr w14:paraId="38AB7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4FA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992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门窗组角胶</w:t>
            </w: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C57A0">
            <w:pPr>
              <w:jc w:val="center"/>
              <w:rPr>
                <w:rFonts w:hint="eastAsia" w:ascii="宋体" w:hAnsi="宋体" w:eastAsia="宋体" w:cs="宋体"/>
                <w:i w:val="0"/>
                <w:iCs w:val="0"/>
                <w:color w:val="000000"/>
                <w:sz w:val="20"/>
                <w:szCs w:val="20"/>
                <w:u w:val="none"/>
              </w:rPr>
            </w:pP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1F8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德国卫仕、德国全能</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F1E87">
            <w:pPr>
              <w:jc w:val="center"/>
              <w:rPr>
                <w:rFonts w:hint="eastAsia" w:ascii="宋体" w:hAnsi="宋体" w:eastAsia="宋体" w:cs="宋体"/>
                <w:i w:val="0"/>
                <w:iCs w:val="0"/>
                <w:color w:val="000000"/>
                <w:sz w:val="20"/>
                <w:szCs w:val="20"/>
                <w:u w:val="none"/>
              </w:rPr>
            </w:pPr>
          </w:p>
        </w:tc>
      </w:tr>
      <w:tr w14:paraId="35400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47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4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铝板</w:t>
            </w:r>
          </w:p>
        </w:tc>
        <w:tc>
          <w:tcPr>
            <w:tcW w:w="79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F5DD16">
            <w:pPr>
              <w:jc w:val="left"/>
              <w:rPr>
                <w:rFonts w:hint="eastAsia" w:ascii="宋体" w:hAnsi="宋体" w:eastAsia="宋体" w:cs="宋体"/>
                <w:i w:val="0"/>
                <w:iCs w:val="0"/>
                <w:color w:val="000000"/>
                <w:sz w:val="20"/>
                <w:szCs w:val="20"/>
                <w:u w:val="none"/>
              </w:rPr>
            </w:pP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3FB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方大、华途仕、高士达、东阿蓝天七色</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CA334">
            <w:pPr>
              <w:jc w:val="center"/>
              <w:rPr>
                <w:rFonts w:hint="eastAsia" w:ascii="宋体" w:hAnsi="宋体" w:eastAsia="宋体" w:cs="宋体"/>
                <w:i w:val="0"/>
                <w:iCs w:val="0"/>
                <w:color w:val="000000"/>
                <w:sz w:val="20"/>
                <w:szCs w:val="20"/>
                <w:u w:val="none"/>
              </w:rPr>
            </w:pPr>
          </w:p>
        </w:tc>
      </w:tr>
      <w:tr w14:paraId="744D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DA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EA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隔热条</w:t>
            </w: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B82BC">
            <w:pPr>
              <w:jc w:val="left"/>
              <w:rPr>
                <w:rFonts w:hint="eastAsia" w:ascii="宋体" w:hAnsi="宋体" w:eastAsia="宋体" w:cs="宋体"/>
                <w:i w:val="0"/>
                <w:iCs w:val="0"/>
                <w:color w:val="000000"/>
                <w:sz w:val="20"/>
                <w:szCs w:val="20"/>
                <w:u w:val="none"/>
              </w:rPr>
            </w:pP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D0C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泰诺风、玛泽、亚松</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E5CA0">
            <w:pPr>
              <w:jc w:val="center"/>
              <w:rPr>
                <w:rFonts w:hint="eastAsia" w:ascii="宋体" w:hAnsi="宋体" w:eastAsia="宋体" w:cs="宋体"/>
                <w:i w:val="0"/>
                <w:iCs w:val="0"/>
                <w:color w:val="000000"/>
                <w:sz w:val="20"/>
                <w:szCs w:val="20"/>
                <w:u w:val="none"/>
              </w:rPr>
            </w:pPr>
          </w:p>
        </w:tc>
      </w:tr>
      <w:tr w14:paraId="64828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75C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CC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密封胶条</w:t>
            </w:r>
          </w:p>
        </w:tc>
        <w:tc>
          <w:tcPr>
            <w:tcW w:w="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C7F6A">
            <w:pPr>
              <w:jc w:val="left"/>
              <w:rPr>
                <w:rFonts w:hint="eastAsia" w:ascii="宋体" w:hAnsi="宋体" w:eastAsia="宋体" w:cs="宋体"/>
                <w:i w:val="0"/>
                <w:iCs w:val="0"/>
                <w:color w:val="000000"/>
                <w:sz w:val="20"/>
                <w:szCs w:val="20"/>
                <w:u w:val="none"/>
              </w:rPr>
            </w:pP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681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江阴海达、青岛美德、新安东</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7041E">
            <w:pPr>
              <w:jc w:val="center"/>
              <w:rPr>
                <w:rFonts w:hint="eastAsia" w:ascii="宋体" w:hAnsi="宋体" w:eastAsia="宋体" w:cs="宋体"/>
                <w:i w:val="0"/>
                <w:iCs w:val="0"/>
                <w:color w:val="000000"/>
                <w:sz w:val="20"/>
                <w:szCs w:val="20"/>
                <w:u w:val="none"/>
              </w:rPr>
            </w:pPr>
          </w:p>
        </w:tc>
      </w:tr>
      <w:tr w14:paraId="2E1E5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58C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99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夹胶片</w:t>
            </w:r>
          </w:p>
        </w:tc>
        <w:tc>
          <w:tcPr>
            <w:tcW w:w="790"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B98814">
            <w:pPr>
              <w:jc w:val="left"/>
              <w:rPr>
                <w:rFonts w:hint="eastAsia" w:ascii="宋体" w:hAnsi="宋体" w:eastAsia="宋体" w:cs="宋体"/>
                <w:i w:val="0"/>
                <w:iCs w:val="0"/>
                <w:color w:val="000000"/>
                <w:sz w:val="20"/>
                <w:szCs w:val="20"/>
                <w:u w:val="none"/>
              </w:rPr>
            </w:pPr>
          </w:p>
        </w:tc>
        <w:tc>
          <w:tcPr>
            <w:tcW w:w="19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D1A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杜邦、积水、首诺</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422C7">
            <w:pPr>
              <w:jc w:val="center"/>
              <w:rPr>
                <w:rFonts w:hint="eastAsia" w:ascii="宋体" w:hAnsi="宋体" w:eastAsia="宋体" w:cs="宋体"/>
                <w:i w:val="0"/>
                <w:iCs w:val="0"/>
                <w:color w:val="000000"/>
                <w:sz w:val="20"/>
                <w:szCs w:val="20"/>
                <w:u w:val="none"/>
              </w:rPr>
            </w:pPr>
          </w:p>
        </w:tc>
      </w:tr>
    </w:tbl>
    <w:p w14:paraId="47075D8F">
      <w:pPr>
        <w:pStyle w:val="3"/>
        <w:rPr>
          <w:rFonts w:ascii="黑体" w:hAnsi="黑体" w:eastAsia="黑体"/>
          <w:b/>
          <w:bCs/>
          <w:color w:val="000000"/>
          <w:sz w:val="26"/>
          <w:szCs w:val="26"/>
        </w:rPr>
      </w:pPr>
    </w:p>
    <w:p w14:paraId="04A3EE84"/>
    <w:p w14:paraId="12951C59">
      <w:pPr>
        <w:keepNext w:val="0"/>
        <w:keepLines w:val="0"/>
        <w:pageBreakBefore w:val="0"/>
        <w:kinsoku/>
        <w:wordWrap/>
        <w:overflowPunct/>
        <w:topLinePunct w:val="0"/>
        <w:autoSpaceDE/>
        <w:autoSpaceDN/>
        <w:bidi w:val="0"/>
        <w:spacing w:line="360" w:lineRule="auto"/>
        <w:ind w:firstLine="480" w:firstLineChars="200"/>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t>铝合金窗材料、安装、保护要求</w:t>
      </w:r>
    </w:p>
    <w:p w14:paraId="2CF7593C">
      <w:pPr>
        <w:keepNext w:val="0"/>
        <w:keepLines w:val="0"/>
        <w:pageBreakBefore w:val="0"/>
        <w:kinsoku/>
        <w:wordWrap/>
        <w:overflowPunct/>
        <w:topLinePunct w:val="0"/>
        <w:autoSpaceDE/>
        <w:autoSpaceDN/>
        <w:bidi w:val="0"/>
        <w:spacing w:line="360" w:lineRule="auto"/>
        <w:ind w:firstLine="480" w:firstLineChars="200"/>
        <w:jc w:val="both"/>
        <w:textAlignment w:val="auto"/>
        <w:rPr>
          <w:rFonts w:hint="default" w:ascii="宋体" w:hAnsi="宋体" w:cs="宋体"/>
          <w:sz w:val="24"/>
          <w:szCs w:val="24"/>
          <w:lang w:val="en-US" w:eastAsia="zh-CN"/>
        </w:rPr>
      </w:pPr>
      <w:r>
        <w:rPr>
          <w:rFonts w:hint="eastAsia" w:ascii="宋体" w:hAnsi="宋体" w:cs="宋体"/>
          <w:sz w:val="24"/>
          <w:szCs w:val="24"/>
          <w:lang w:val="en-US" w:eastAsia="zh-CN"/>
        </w:rPr>
        <w:t>一、材料要求</w:t>
      </w:r>
    </w:p>
    <w:p w14:paraId="3CFF870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1</w:t>
      </w:r>
      <w:r>
        <w:rPr>
          <w:rFonts w:hint="eastAsia" w:ascii="宋体" w:hAnsi="宋体" w:eastAsia="宋体" w:cs="宋体"/>
          <w:sz w:val="24"/>
          <w:szCs w:val="24"/>
        </w:rPr>
        <w:t>、密封胶：</w:t>
      </w:r>
    </w:p>
    <w:p w14:paraId="2305401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外墙及玻璃密封胶采用中性硅酮耐候密封胶，品牌选用：</w:t>
      </w:r>
      <w:r>
        <w:rPr>
          <w:rFonts w:hint="eastAsia" w:ascii="宋体" w:hAnsi="宋体" w:eastAsia="宋体" w:cs="宋体"/>
          <w:color w:val="auto"/>
          <w:sz w:val="24"/>
          <w:szCs w:val="24"/>
          <w:u w:val="none"/>
        </w:rPr>
        <w:t>按</w:t>
      </w:r>
      <w:r>
        <w:rPr>
          <w:rFonts w:hint="eastAsia" w:ascii="宋体" w:hAnsi="宋体" w:cs="宋体"/>
          <w:color w:val="auto"/>
          <w:sz w:val="24"/>
          <w:szCs w:val="24"/>
          <w:u w:val="none"/>
          <w:lang w:val="en-US" w:eastAsia="zh-CN"/>
        </w:rPr>
        <w:t>招标清单</w:t>
      </w:r>
      <w:r>
        <w:rPr>
          <w:rFonts w:hint="eastAsia" w:ascii="宋体" w:hAnsi="宋体" w:eastAsia="宋体" w:cs="宋体"/>
          <w:color w:val="auto"/>
          <w:sz w:val="24"/>
          <w:szCs w:val="24"/>
          <w:u w:val="none"/>
        </w:rPr>
        <w:t>要求；</w:t>
      </w:r>
      <w:r>
        <w:rPr>
          <w:rFonts w:hint="eastAsia" w:ascii="宋体" w:hAnsi="宋体" w:eastAsia="宋体" w:cs="宋体"/>
          <w:sz w:val="24"/>
          <w:szCs w:val="24"/>
        </w:rPr>
        <w:t>其产品性能应满足国家标准GB/T 14683-2003《硅酮建筑密封胶》中20HM或20LM产品性能要求，颜色同窗框颜色；内墙采用白色普通密封胶，品牌由施工单位自行填报。</w:t>
      </w:r>
    </w:p>
    <w:p w14:paraId="0A22292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、发泡剂</w:t>
      </w:r>
    </w:p>
    <w:p w14:paraId="48E8602B">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发泡剂采用单组份聚氨酯发泡剂，品牌选用</w:t>
      </w:r>
      <w:r>
        <w:rPr>
          <w:rFonts w:hint="eastAsia" w:ascii="宋体" w:hAnsi="宋体" w:eastAsia="宋体" w:cs="宋体"/>
          <w:color w:val="auto"/>
          <w:sz w:val="24"/>
          <w:szCs w:val="24"/>
          <w:u w:val="none"/>
        </w:rPr>
        <w:t>按</w:t>
      </w:r>
      <w:r>
        <w:rPr>
          <w:rFonts w:hint="eastAsia" w:ascii="宋体" w:hAnsi="宋体" w:cs="宋体"/>
          <w:color w:val="auto"/>
          <w:sz w:val="24"/>
          <w:szCs w:val="24"/>
          <w:u w:val="none"/>
          <w:lang w:val="en-US" w:eastAsia="zh-CN"/>
        </w:rPr>
        <w:t>招标清单</w:t>
      </w:r>
      <w:r>
        <w:rPr>
          <w:rFonts w:hint="eastAsia" w:ascii="宋体" w:hAnsi="宋体" w:eastAsia="宋体" w:cs="宋体"/>
          <w:color w:val="auto"/>
          <w:sz w:val="24"/>
          <w:szCs w:val="24"/>
          <w:u w:val="none"/>
        </w:rPr>
        <w:t>要求</w:t>
      </w:r>
      <w:r>
        <w:rPr>
          <w:rFonts w:hint="eastAsia" w:ascii="宋体" w:hAnsi="宋体" w:eastAsia="宋体" w:cs="宋体"/>
          <w:sz w:val="24"/>
          <w:szCs w:val="24"/>
        </w:rPr>
        <w:t>；其产品性能应满足国家标准JC936-2004《单组份聚氨酯泡沫填缝剂》 中相关技术要求，其中燃烧性能不得小于B2级。</w:t>
      </w:r>
    </w:p>
    <w:p w14:paraId="3C1C850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、胶条：</w:t>
      </w:r>
    </w:p>
    <w:p w14:paraId="27BAD658">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玻璃与型材之间缝隙及门窗扇与框之间采用三元乙丙胶条密封，品牌选用：</w:t>
      </w:r>
      <w:r>
        <w:rPr>
          <w:rFonts w:hint="eastAsia" w:ascii="宋体" w:hAnsi="宋体" w:eastAsia="宋体" w:cs="宋体"/>
          <w:color w:val="auto"/>
          <w:sz w:val="24"/>
          <w:szCs w:val="24"/>
          <w:u w:val="none"/>
        </w:rPr>
        <w:t>按</w:t>
      </w:r>
      <w:r>
        <w:rPr>
          <w:rFonts w:hint="eastAsia" w:ascii="宋体" w:hAnsi="宋体" w:cs="宋体"/>
          <w:color w:val="auto"/>
          <w:sz w:val="24"/>
          <w:szCs w:val="24"/>
          <w:u w:val="none"/>
          <w:lang w:val="en-US" w:eastAsia="zh-CN"/>
        </w:rPr>
        <w:t>图纸及招标清单</w:t>
      </w:r>
      <w:r>
        <w:rPr>
          <w:rFonts w:hint="eastAsia" w:ascii="宋体" w:hAnsi="宋体" w:eastAsia="宋体" w:cs="宋体"/>
          <w:color w:val="auto"/>
          <w:sz w:val="24"/>
          <w:szCs w:val="24"/>
          <w:u w:val="none"/>
        </w:rPr>
        <w:t>要求</w:t>
      </w:r>
      <w:r>
        <w:rPr>
          <w:rFonts w:hint="eastAsia" w:ascii="宋体" w:hAnsi="宋体" w:eastAsia="宋体" w:cs="宋体"/>
          <w:sz w:val="24"/>
          <w:szCs w:val="24"/>
        </w:rPr>
        <w:t>，其产品性能应满足国家规范GB／T 24498-2009 《建筑门窗、幕墙用密封胶条》中硫化橡胶产品性能要求，禁止采用改性PVC胶条。其中热老化回弹等级不得低于规范中3级产品要求。</w:t>
      </w:r>
    </w:p>
    <w:p w14:paraId="11B5F45A">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rPr>
        <w:t>、毛条：</w:t>
      </w:r>
    </w:p>
    <w:p w14:paraId="79228CA3">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推拉门窗用毛条其产品性能应满足JCT/635-1996《建筑门窗密封毛条技术条件》中一等品要求，绒毛密度为“E ”或“P”型。</w:t>
      </w:r>
    </w:p>
    <w:p w14:paraId="5783DDE5">
      <w:pPr>
        <w:keepNext w:val="0"/>
        <w:keepLines w:val="0"/>
        <w:pageBreakBefore w:val="0"/>
        <w:kinsoku/>
        <w:wordWrap/>
        <w:overflowPunct/>
        <w:topLinePunct w:val="0"/>
        <w:autoSpaceDE/>
        <w:autoSpaceDN/>
        <w:bidi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二、 安装要求</w:t>
      </w:r>
    </w:p>
    <w:p w14:paraId="0274F31F">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铝合金</w:t>
      </w:r>
      <w:r>
        <w:rPr>
          <w:rFonts w:hint="eastAsia" w:ascii="宋体" w:hAnsi="宋体" w:eastAsia="宋体" w:cs="宋体"/>
          <w:sz w:val="24"/>
          <w:szCs w:val="24"/>
        </w:rPr>
        <w:t>窗设计必须充分考虑安全、节能、防水和经济性等综合指标，并在投标书中附上相应的计算书及节点构造。投标人应结合招标人建议的门窗分隔方式及型材选用对门窗具体尺寸及安装位置进行计算和复核，若在安装过程中出现门窗安装问题及门窗稳定和安全性不满足要求而造成的损失由投标人自行承担。</w:t>
      </w:r>
    </w:p>
    <w:p w14:paraId="3F10294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窗框正面垂直度[0，2.5]mm，国家规范GB50210-2001表5.3.12；</w:t>
      </w:r>
    </w:p>
    <w:p w14:paraId="13DC890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窗框固定-角部固定片距门窗洞口四个角不大于150-200mm；中间各固定片中心距离不大于600mm；以1.5mm厚的镀锌板裁制，采用金属膨胀螺栓或射钉固定，应根据预留混凝土块位置，按对称顺序安装。国家规范GB50210-2001，</w:t>
      </w:r>
    </w:p>
    <w:p w14:paraId="39940B4A">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1.3拉片质量-拉片宽度不少于20mm，厚度不少于1.5mm；</w:t>
      </w:r>
    </w:p>
    <w:p w14:paraId="44303B3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1.4泄水孔-符合设计要求，且不得出现堵塞现象  </w:t>
      </w:r>
    </w:p>
    <w:p w14:paraId="3099B6B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1.5打胶质量-打胶前基层应清理干净，注胶应密实、宽度均匀、光滑、美观；</w:t>
      </w:r>
    </w:p>
    <w:p w14:paraId="22AF5B93">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1.6边框收口与塞缝</w:t>
      </w:r>
    </w:p>
    <w:p w14:paraId="78F777A0">
      <w:pPr>
        <w:keepNext w:val="0"/>
        <w:keepLines w:val="0"/>
        <w:pageBreakBefore w:val="0"/>
        <w:numPr>
          <w:ilvl w:val="0"/>
          <w:numId w:val="2"/>
        </w:numPr>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窗框与洞口间无缠绕保护膜，临时固定木楔需取出；</w:t>
      </w:r>
    </w:p>
    <w:p w14:paraId="5259804F">
      <w:pPr>
        <w:keepNext w:val="0"/>
        <w:keepLines w:val="0"/>
        <w:pageBreakBefore w:val="0"/>
        <w:numPr>
          <w:ilvl w:val="0"/>
          <w:numId w:val="2"/>
        </w:numPr>
        <w:kinsoku/>
        <w:wordWrap/>
        <w:overflowPunct/>
        <w:topLinePunct w:val="0"/>
        <w:autoSpaceDE/>
        <w:autoSpaceDN/>
        <w:bidi w:val="0"/>
        <w:spacing w:line="360" w:lineRule="auto"/>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门窗框底边及两侧边上翻150高范围采用干硬性水泥砂浆塞缝，上边及两侧边可采用发泡胶或干硬性水泥砂浆塞缝；填缝须密实；</w:t>
      </w:r>
    </w:p>
    <w:p w14:paraId="0914508F">
      <w:pPr>
        <w:keepNext w:val="0"/>
        <w:keepLines w:val="0"/>
        <w:pageBreakBefore w:val="0"/>
        <w:numPr>
          <w:ilvl w:val="0"/>
          <w:numId w:val="0"/>
        </w:numPr>
        <w:kinsoku/>
        <w:wordWrap/>
        <w:overflowPunct/>
        <w:topLinePunct w:val="0"/>
        <w:autoSpaceDE/>
        <w:autoSpaceDN/>
        <w:bidi w:val="0"/>
        <w:spacing w:line="360" w:lineRule="auto"/>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（3） 超出门窗框外的发泡胶应在其固化前用手或专用工具压入缝隙中；严禁固化后用刀片切割。国家规范GB50210-2001，已按最新规范选用GB50209-2010                                                            </w:t>
      </w:r>
    </w:p>
    <w:p w14:paraId="379CF77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2、成品保护：</w:t>
      </w:r>
    </w:p>
    <w:p w14:paraId="61DFDFF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断桥铝合金</w:t>
      </w:r>
      <w:r>
        <w:rPr>
          <w:rFonts w:hint="eastAsia" w:ascii="宋体" w:hAnsi="宋体" w:eastAsia="宋体" w:cs="宋体"/>
          <w:sz w:val="24"/>
          <w:szCs w:val="24"/>
          <w:lang w:eastAsia="zh-CN"/>
        </w:rPr>
        <w:t>、塑钢</w:t>
      </w:r>
      <w:r>
        <w:rPr>
          <w:rFonts w:hint="eastAsia" w:ascii="宋体" w:hAnsi="宋体" w:eastAsia="宋体" w:cs="宋体"/>
          <w:sz w:val="24"/>
          <w:szCs w:val="24"/>
        </w:rPr>
        <w:t>型材和玻璃均应采取有效的成品保护措施，其中型材必须使用热压保护膜，禁止使用后缠绕方式；门窗配件及玻璃由施工单位自行进行保护，若存在配件及玻璃的损坏及表观磨损，由投标人负责免费更换。</w:t>
      </w:r>
    </w:p>
    <w:p w14:paraId="5B06F28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3、防雷措施：</w:t>
      </w:r>
    </w:p>
    <w:p w14:paraId="23E7FBC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门窗的防雷措施应符合相应的国家和地方规范要求，由土建单位负责防雷接地预留，门窗单位负责门窗接地连接施工。</w:t>
      </w:r>
    </w:p>
    <w:p w14:paraId="5B388845">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4、防排水设计：</w:t>
      </w:r>
    </w:p>
    <w:p w14:paraId="0B4D5BF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门窗除考虑密封措施外，同时考虑防排结合，PVC型材应有独立的排水腔，设置排水孔，开口尺寸、数量及分布满足要求，并设置气压平衡孔，保证排水系统的通畅。</w:t>
      </w:r>
    </w:p>
    <w:p w14:paraId="0B69777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每块玻璃的下边框型材上都应开有内、外腔贯通排水孔，其上边框型材上开有内外腔贯通气压平衡孔。</w:t>
      </w:r>
    </w:p>
    <w:p w14:paraId="3F0675C9">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门窗框与洞口墙体安装间隙应采用发泡剂封堵，待土建收边收口完成后窗框内外由门窗施工单位投标人负责打胶封堵。</w:t>
      </w:r>
    </w:p>
    <w:p w14:paraId="3691B975">
      <w:pPr>
        <w:keepNext w:val="0"/>
        <w:keepLines w:val="0"/>
        <w:pageBreakBefore w:val="0"/>
        <w:kinsoku/>
        <w:wordWrap/>
        <w:overflowPunct/>
        <w:topLinePunct w:val="0"/>
        <w:autoSpaceDE/>
        <w:autoSpaceDN/>
        <w:bidi w:val="0"/>
        <w:spacing w:line="360" w:lineRule="auto"/>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三、其它要求：</w:t>
      </w:r>
    </w:p>
    <w:p w14:paraId="0649062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1、隔声性能至少为2级。</w:t>
      </w:r>
    </w:p>
    <w:p w14:paraId="505F1B4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2、铝合金门窗</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塑钢门窗</w:t>
      </w:r>
      <w:r>
        <w:rPr>
          <w:rFonts w:hint="eastAsia" w:ascii="宋体" w:hAnsi="宋体" w:eastAsia="宋体" w:cs="宋体"/>
          <w:sz w:val="24"/>
          <w:szCs w:val="24"/>
        </w:rPr>
        <w:t>的各项技术指标必须符合节能计算书中的计算要求，并提供气密性和K值检测报告。</w:t>
      </w:r>
    </w:p>
    <w:p w14:paraId="7B52820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rPr>
        <w:t>本工程所有安全玻璃上均应有“3C”标志。</w:t>
      </w:r>
    </w:p>
    <w:p w14:paraId="14B5E43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4、投标单位需确保通过政府相关部门的验收。</w:t>
      </w:r>
    </w:p>
    <w:p w14:paraId="06BB785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5、本工程门窗材料及安装除满足本招标技术要求外，还应符合下列规范要求：</w:t>
      </w:r>
    </w:p>
    <w:p w14:paraId="39D3588F">
      <w:pPr>
        <w:keepNext w:val="0"/>
        <w:keepLines w:val="0"/>
        <w:pageBreakBefore w:val="0"/>
        <w:kinsoku/>
        <w:wordWrap/>
        <w:overflowPunct/>
        <w:topLinePunct w:val="0"/>
        <w:autoSpaceDE/>
        <w:autoSpaceDN/>
        <w:bidi w:val="0"/>
        <w:adjustRightInd w:val="0"/>
        <w:snapToGrid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《建筑门窗洞口尺寸系列》                          GB/T 5824-2008</w:t>
      </w:r>
    </w:p>
    <w:p w14:paraId="4EA65159">
      <w:pPr>
        <w:keepNext w:val="0"/>
        <w:keepLines w:val="0"/>
        <w:pageBreakBefore w:val="0"/>
        <w:kinsoku/>
        <w:wordWrap/>
        <w:overflowPunct/>
        <w:topLinePunct w:val="0"/>
        <w:autoSpaceDE/>
        <w:autoSpaceDN/>
        <w:bidi w:val="0"/>
        <w:adjustRightInd w:val="0"/>
        <w:snapToGrid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《夏热冬冷地区居住建筑节能设计标准》              JGJ 134-2010</w:t>
      </w:r>
    </w:p>
    <w:p w14:paraId="1EF89A1A">
      <w:pPr>
        <w:keepNext w:val="0"/>
        <w:keepLines w:val="0"/>
        <w:pageBreakBefore w:val="0"/>
        <w:kinsoku/>
        <w:wordWrap/>
        <w:overflowPunct/>
        <w:topLinePunct w:val="0"/>
        <w:autoSpaceDE/>
        <w:autoSpaceDN/>
        <w:bidi w:val="0"/>
        <w:adjustRightInd w:val="0"/>
        <w:snapToGrid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《公共建筑节能设计标准》                          GB50189-2005</w:t>
      </w:r>
    </w:p>
    <w:p w14:paraId="5FA29381">
      <w:pPr>
        <w:keepNext w:val="0"/>
        <w:keepLines w:val="0"/>
        <w:pageBreakBefore w:val="0"/>
        <w:kinsoku/>
        <w:wordWrap/>
        <w:overflowPunct/>
        <w:topLinePunct w:val="0"/>
        <w:autoSpaceDE/>
        <w:autoSpaceDN/>
        <w:bidi w:val="0"/>
        <w:adjustRightInd w:val="0"/>
        <w:snapToGrid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《建筑物防雷设计规范》                            GB50057－2010</w:t>
      </w:r>
    </w:p>
    <w:p w14:paraId="7D7A6DA9">
      <w:pPr>
        <w:keepNext w:val="0"/>
        <w:keepLines w:val="0"/>
        <w:pageBreakBefore w:val="0"/>
        <w:kinsoku/>
        <w:wordWrap/>
        <w:overflowPunct/>
        <w:topLinePunct w:val="0"/>
        <w:autoSpaceDE/>
        <w:autoSpaceDN/>
        <w:bidi w:val="0"/>
        <w:adjustRightInd w:val="0"/>
        <w:snapToGrid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《硅酮建筑密封胶》                                GB/T14683-2003</w:t>
      </w:r>
    </w:p>
    <w:p w14:paraId="2211AE03">
      <w:pPr>
        <w:keepNext w:val="0"/>
        <w:keepLines w:val="0"/>
        <w:pageBreakBefore w:val="0"/>
        <w:kinsoku/>
        <w:wordWrap/>
        <w:overflowPunct/>
        <w:topLinePunct w:val="0"/>
        <w:autoSpaceDE/>
        <w:autoSpaceDN/>
        <w:bidi w:val="0"/>
        <w:adjustRightInd w:val="0"/>
        <w:snapToGrid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《铝合金门窗工程技术规范》                        JGJ214-2010</w:t>
      </w:r>
    </w:p>
    <w:p w14:paraId="7E0261FF">
      <w:pPr>
        <w:keepNext w:val="0"/>
        <w:keepLines w:val="0"/>
        <w:pageBreakBefore w:val="0"/>
        <w:kinsoku/>
        <w:wordWrap/>
        <w:overflowPunct/>
        <w:topLinePunct w:val="0"/>
        <w:autoSpaceDE/>
        <w:autoSpaceDN/>
        <w:bidi w:val="0"/>
        <w:adjustRightInd w:val="0"/>
        <w:snapToGrid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《铝合金建筑型材》                                GB5237.1-5-2008</w:t>
      </w:r>
    </w:p>
    <w:p w14:paraId="1D680326">
      <w:pPr>
        <w:keepNext w:val="0"/>
        <w:keepLines w:val="0"/>
        <w:pageBreakBefore w:val="0"/>
        <w:kinsoku/>
        <w:wordWrap/>
        <w:overflowPunct/>
        <w:topLinePunct w:val="0"/>
        <w:autoSpaceDE/>
        <w:autoSpaceDN/>
        <w:bidi w:val="0"/>
        <w:adjustRightInd w:val="0"/>
        <w:snapToGrid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《建筑装饰装修工程质量验收规范》                  GB50201-2001</w:t>
      </w:r>
    </w:p>
    <w:p w14:paraId="25869622">
      <w:pPr>
        <w:keepNext w:val="0"/>
        <w:keepLines w:val="0"/>
        <w:pageBreakBefore w:val="0"/>
        <w:kinsoku/>
        <w:wordWrap/>
        <w:overflowPunct/>
        <w:topLinePunct w:val="0"/>
        <w:autoSpaceDE/>
        <w:autoSpaceDN/>
        <w:bidi w:val="0"/>
        <w:adjustRightInd w:val="0"/>
        <w:snapToGrid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《建筑玻璃应用技术规程》                          JGJ 113-2009</w:t>
      </w:r>
    </w:p>
    <w:p w14:paraId="3E20B31A">
      <w:pPr>
        <w:keepNext w:val="0"/>
        <w:keepLines w:val="0"/>
        <w:pageBreakBefore w:val="0"/>
        <w:kinsoku/>
        <w:wordWrap/>
        <w:overflowPunct/>
        <w:topLinePunct w:val="0"/>
        <w:autoSpaceDE/>
        <w:autoSpaceDN/>
        <w:bidi w:val="0"/>
        <w:adjustRightInd w:val="0"/>
        <w:snapToGrid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 xml:space="preserve">《建筑安全玻璃》                                  GB15763 </w:t>
      </w:r>
    </w:p>
    <w:p w14:paraId="1EC8DDF9">
      <w:pPr>
        <w:keepNext w:val="0"/>
        <w:keepLines w:val="0"/>
        <w:pageBreakBefore w:val="0"/>
        <w:kinsoku/>
        <w:wordWrap/>
        <w:overflowPunct/>
        <w:topLinePunct w:val="0"/>
        <w:autoSpaceDE/>
        <w:autoSpaceDN/>
        <w:bidi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《建筑安全玻璃管理规定》                    发改运行[2003]2116号</w:t>
      </w:r>
    </w:p>
    <w:p w14:paraId="1B4BA7B5">
      <w:pPr>
        <w:keepNext w:val="0"/>
        <w:keepLines w:val="0"/>
        <w:pageBreakBefore w:val="0"/>
        <w:kinsoku/>
        <w:wordWrap/>
        <w:overflowPunct/>
        <w:topLinePunct w:val="0"/>
        <w:autoSpaceDE/>
        <w:autoSpaceDN/>
        <w:bidi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《建筑门窗、幕墙用密封胶条》                      GB／T 24498-2009</w:t>
      </w:r>
    </w:p>
    <w:p w14:paraId="53A9195A">
      <w:pPr>
        <w:keepNext w:val="0"/>
        <w:keepLines w:val="0"/>
        <w:pageBreakBefore w:val="0"/>
        <w:kinsoku/>
        <w:wordWrap/>
        <w:overflowPunct/>
        <w:topLinePunct w:val="0"/>
        <w:autoSpaceDE/>
        <w:autoSpaceDN/>
        <w:bidi w:val="0"/>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szCs w:val="24"/>
        </w:rPr>
        <w:t>《单组份聚氨酯泡沫填缝剂》                        JC936-2004</w:t>
      </w:r>
    </w:p>
    <w:p w14:paraId="2550561A">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《建筑门窗密封毛条技术条件》                       JCT/635-1996</w:t>
      </w:r>
    </w:p>
    <w:p w14:paraId="4DF55B2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《门、窗用未增塑聚氯乙烯（PVC-U）型材》  </w:t>
      </w:r>
      <w:r>
        <w:rPr>
          <w:rFonts w:hint="eastAsia" w:ascii="宋体" w:hAnsi="宋体" w:cs="宋体"/>
          <w:color w:val="000000"/>
          <w:sz w:val="24"/>
          <w:szCs w:val="24"/>
          <w:lang w:val="en-US" w:eastAsia="zh-CN"/>
        </w:rPr>
        <w:t xml:space="preserve">       </w:t>
      </w:r>
      <w:r>
        <w:rPr>
          <w:rFonts w:hint="eastAsia" w:ascii="宋体" w:hAnsi="宋体" w:eastAsia="宋体" w:cs="宋体"/>
          <w:color w:val="000000"/>
          <w:sz w:val="24"/>
          <w:szCs w:val="24"/>
          <w:lang w:val="en-US" w:eastAsia="zh-CN"/>
        </w:rPr>
        <w:t xml:space="preserve">  GB/T  8814-2004</w:t>
      </w:r>
    </w:p>
    <w:p w14:paraId="226A5EF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《未增塑聚氯乙烯(PVC-U)塑料窗》                     JG/T  140-2005</w:t>
      </w:r>
    </w:p>
    <w:p w14:paraId="5CB593D3">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《未增塑聚氯乙烯(PVC-U)塑料门》                </w:t>
      </w:r>
      <w:r>
        <w:rPr>
          <w:rFonts w:hint="eastAsia" w:ascii="宋体" w:hAnsi="宋体" w:cs="宋体"/>
          <w:color w:val="000000"/>
          <w:sz w:val="24"/>
          <w:szCs w:val="24"/>
          <w:lang w:val="en-US" w:eastAsia="zh-CN"/>
        </w:rPr>
        <w:t xml:space="preserve"> </w:t>
      </w:r>
      <w:r>
        <w:rPr>
          <w:rFonts w:hint="eastAsia" w:ascii="宋体" w:hAnsi="宋体" w:eastAsia="宋体" w:cs="宋体"/>
          <w:color w:val="000000"/>
          <w:sz w:val="24"/>
          <w:szCs w:val="24"/>
          <w:lang w:val="en-US" w:eastAsia="zh-CN"/>
        </w:rPr>
        <w:t xml:space="preserve">  JG/T  180-2005  </w:t>
      </w:r>
    </w:p>
    <w:p w14:paraId="45F4AB7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《PVC塑料窗》                                       JG/T3018-94 </w:t>
      </w:r>
    </w:p>
    <w:p w14:paraId="6C11C571">
      <w:pPr>
        <w:pStyle w:val="2"/>
        <w:pageBreakBefore/>
      </w:pPr>
      <w:r>
        <w:rPr>
          <w:rFonts w:ascii="黑体" w:hAnsi="黑体" w:eastAsia="黑体"/>
          <w:b/>
          <w:bCs/>
          <w:color w:val="000000"/>
          <w:sz w:val="32"/>
          <w:szCs w:val="32"/>
        </w:rPr>
        <w:t>第七章  图纸</w:t>
      </w:r>
    </w:p>
    <w:p w14:paraId="36B377AF">
      <w:pPr>
        <w:spacing w:after="80" w:line="300" w:lineRule="auto"/>
        <w:ind w:firstLine="420"/>
        <w:jc w:val="both"/>
      </w:pPr>
      <w:r>
        <w:rPr>
          <w:rFonts w:ascii="Times New Roman" w:hAnsi="Times New Roman" w:eastAsia="宋体"/>
          <w:sz w:val="21"/>
          <w:szCs w:val="21"/>
        </w:rPr>
        <w:t>本项目随招标文件发出的图纸包括：门窗大样图及分格图、栏杆栏板大样图、立面分色图、节能设计计算书（副本）。图纸电子版随招标文件一并发送。投标人应结合现场踏勘自行核对图纸与现场条件，发现矛盾及时在答疑阶段提出。</w:t>
      </w:r>
    </w:p>
    <w:p w14:paraId="64DF76DD">
      <w:pPr>
        <w:pStyle w:val="2"/>
        <w:pageBreakBefore/>
      </w:pPr>
      <w:r>
        <w:rPr>
          <w:rFonts w:ascii="黑体" w:hAnsi="黑体" w:eastAsia="黑体"/>
          <w:b/>
          <w:bCs/>
          <w:color w:val="000000"/>
          <w:sz w:val="32"/>
          <w:szCs w:val="32"/>
        </w:rPr>
        <w:t>第八章  投标文件格式</w:t>
      </w:r>
    </w:p>
    <w:p w14:paraId="6A18FA9F">
      <w:pPr>
        <w:pStyle w:val="3"/>
      </w:pPr>
      <w:r>
        <w:rPr>
          <w:rFonts w:ascii="黑体" w:hAnsi="黑体" w:eastAsia="黑体"/>
          <w:b/>
          <w:bCs/>
          <w:color w:val="000000"/>
          <w:sz w:val="26"/>
          <w:szCs w:val="26"/>
        </w:rPr>
        <w:t>格式一  投标函</w:t>
      </w:r>
    </w:p>
    <w:p w14:paraId="52489B15">
      <w:pPr>
        <w:spacing w:after="80" w:line="300" w:lineRule="auto"/>
        <w:jc w:val="both"/>
      </w:pPr>
      <w:r>
        <w:rPr>
          <w:rFonts w:ascii="Times New Roman" w:hAnsi="Times New Roman" w:eastAsia="宋体"/>
          <w:sz w:val="21"/>
          <w:szCs w:val="21"/>
        </w:rPr>
        <w:t>致：湖北省宏安房地产开发有限公司</w:t>
      </w:r>
    </w:p>
    <w:p w14:paraId="22DB24AC">
      <w:pPr>
        <w:spacing w:after="80" w:line="300" w:lineRule="auto"/>
        <w:jc w:val="both"/>
      </w:pPr>
      <w:r>
        <w:rPr>
          <w:rFonts w:ascii="Times New Roman" w:hAnsi="Times New Roman" w:eastAsia="宋体"/>
          <w:sz w:val="21"/>
          <w:szCs w:val="21"/>
        </w:rPr>
        <w:t>1. 我方已仔细研究了宜昌市西陵区危旧房改造项目（西陵二路35号新华印刷厂地块及珍珠路39号嘉明花园地块）玻璃门窗及栏板工程施工专业分包招标文件的全部内容，愿意以人民币（大写）            元（¥      ）的投标总报价，按合同约定实施和完成承包工程，工期、质量标准、付款条件响应招标文件要求。</w:t>
      </w:r>
    </w:p>
    <w:p w14:paraId="3C5C7C2E">
      <w:pPr>
        <w:spacing w:after="80" w:line="300" w:lineRule="auto"/>
        <w:jc w:val="both"/>
      </w:pPr>
      <w:r>
        <w:rPr>
          <w:rFonts w:ascii="Times New Roman" w:hAnsi="Times New Roman" w:eastAsia="宋体"/>
          <w:sz w:val="21"/>
          <w:szCs w:val="21"/>
        </w:rPr>
        <w:t>2. 我方承诺在投标有效期90天内不修改、撤销投标文件。</w:t>
      </w:r>
    </w:p>
    <w:p w14:paraId="6E3114D0">
      <w:pPr>
        <w:spacing w:after="80" w:line="300" w:lineRule="auto"/>
        <w:jc w:val="both"/>
      </w:pPr>
      <w:r>
        <w:rPr>
          <w:rFonts w:ascii="Times New Roman" w:hAnsi="Times New Roman" w:eastAsia="宋体"/>
          <w:sz w:val="21"/>
          <w:szCs w:val="21"/>
        </w:rPr>
        <w:t>3. 随本投标函提交投标保证金人民币贰万元整，该保证金自我单位基本账户转出，有效期与投标有效期一致（自投标截止之日起90天）。</w:t>
      </w:r>
    </w:p>
    <w:p w14:paraId="45443D75">
      <w:pPr>
        <w:spacing w:after="80" w:line="300" w:lineRule="auto"/>
        <w:jc w:val="both"/>
      </w:pPr>
      <w:r>
        <w:rPr>
          <w:rFonts w:ascii="Times New Roman" w:hAnsi="Times New Roman" w:eastAsia="宋体"/>
          <w:sz w:val="21"/>
          <w:szCs w:val="21"/>
        </w:rPr>
        <w:t>4. 如我方中标，将在收到中标通知书后14天内提交履约担保并签订合同。</w:t>
      </w:r>
    </w:p>
    <w:p w14:paraId="16D49A2E">
      <w:pPr>
        <w:spacing w:after="80" w:line="300" w:lineRule="auto"/>
        <w:jc w:val="both"/>
      </w:pPr>
      <w:r>
        <w:rPr>
          <w:rFonts w:ascii="Times New Roman" w:hAnsi="Times New Roman" w:eastAsia="宋体"/>
          <w:sz w:val="21"/>
          <w:szCs w:val="21"/>
        </w:rPr>
        <w:t>5. 我方在此声明，所递交的投标文件及有关资料内容完整、真实和准确。</w:t>
      </w:r>
    </w:p>
    <w:p w14:paraId="5A4B758B">
      <w:pPr>
        <w:spacing w:before="400"/>
        <w:jc w:val="right"/>
      </w:pPr>
      <w:r>
        <w:rPr>
          <w:rFonts w:ascii="Times New Roman" w:hAnsi="Times New Roman" w:eastAsia="宋体"/>
          <w:sz w:val="21"/>
          <w:szCs w:val="21"/>
        </w:rPr>
        <w:t>投标人：              （盖章）</w:t>
      </w:r>
    </w:p>
    <w:p w14:paraId="3AC05AB1">
      <w:pPr>
        <w:jc w:val="right"/>
      </w:pPr>
      <w:r>
        <w:rPr>
          <w:rFonts w:ascii="Times New Roman" w:hAnsi="Times New Roman" w:eastAsia="宋体"/>
          <w:sz w:val="21"/>
          <w:szCs w:val="21"/>
        </w:rPr>
        <w:t>法定代表人或其委托代理人：              （签字）</w:t>
      </w:r>
    </w:p>
    <w:p w14:paraId="3EA0166A">
      <w:pPr>
        <w:jc w:val="right"/>
      </w:pPr>
      <w:r>
        <w:rPr>
          <w:rFonts w:ascii="Times New Roman" w:hAnsi="Times New Roman" w:eastAsia="宋体"/>
          <w:sz w:val="21"/>
          <w:szCs w:val="21"/>
        </w:rPr>
        <w:t>日期：    年    月    日</w:t>
      </w:r>
    </w:p>
    <w:p w14:paraId="5BCBC573">
      <w:pPr>
        <w:pStyle w:val="3"/>
        <w:rPr>
          <w:rFonts w:ascii="黑体" w:hAnsi="黑体" w:eastAsia="黑体"/>
          <w:b/>
          <w:bCs/>
          <w:color w:val="000000"/>
          <w:sz w:val="26"/>
          <w:szCs w:val="26"/>
        </w:rPr>
      </w:pPr>
    </w:p>
    <w:p w14:paraId="4EFF1EF0">
      <w:pPr>
        <w:pStyle w:val="3"/>
        <w:rPr>
          <w:rFonts w:ascii="黑体" w:hAnsi="黑体" w:eastAsia="黑体"/>
          <w:b/>
          <w:bCs/>
          <w:color w:val="000000"/>
          <w:sz w:val="26"/>
          <w:szCs w:val="26"/>
        </w:rPr>
      </w:pPr>
    </w:p>
    <w:p w14:paraId="5700FB28">
      <w:pPr>
        <w:pStyle w:val="3"/>
        <w:rPr>
          <w:rFonts w:ascii="黑体" w:hAnsi="黑体" w:eastAsia="黑体"/>
          <w:b/>
          <w:bCs/>
          <w:color w:val="000000"/>
          <w:sz w:val="26"/>
          <w:szCs w:val="26"/>
        </w:rPr>
      </w:pPr>
    </w:p>
    <w:p w14:paraId="58617D8E">
      <w:pPr>
        <w:pStyle w:val="3"/>
        <w:rPr>
          <w:rFonts w:ascii="黑体" w:hAnsi="黑体" w:eastAsia="黑体"/>
          <w:b/>
          <w:bCs/>
          <w:color w:val="000000"/>
          <w:sz w:val="26"/>
          <w:szCs w:val="26"/>
        </w:rPr>
      </w:pPr>
    </w:p>
    <w:p w14:paraId="02487C28">
      <w:pPr>
        <w:pStyle w:val="3"/>
        <w:rPr>
          <w:rFonts w:ascii="黑体" w:hAnsi="黑体" w:eastAsia="黑体"/>
          <w:b/>
          <w:bCs/>
          <w:color w:val="000000"/>
          <w:sz w:val="26"/>
          <w:szCs w:val="26"/>
        </w:rPr>
      </w:pPr>
    </w:p>
    <w:p w14:paraId="0B224638">
      <w:pPr>
        <w:pStyle w:val="3"/>
        <w:rPr>
          <w:rFonts w:ascii="黑体" w:hAnsi="黑体" w:eastAsia="黑体"/>
          <w:b/>
          <w:bCs/>
          <w:color w:val="000000"/>
          <w:sz w:val="26"/>
          <w:szCs w:val="26"/>
        </w:rPr>
      </w:pPr>
    </w:p>
    <w:p w14:paraId="250A0066">
      <w:pPr>
        <w:pStyle w:val="3"/>
        <w:rPr>
          <w:rFonts w:ascii="黑体" w:hAnsi="黑体" w:eastAsia="黑体"/>
          <w:b/>
          <w:bCs/>
          <w:color w:val="000000"/>
          <w:sz w:val="26"/>
          <w:szCs w:val="26"/>
        </w:rPr>
      </w:pPr>
    </w:p>
    <w:p w14:paraId="58447CA2">
      <w:pPr>
        <w:pStyle w:val="3"/>
        <w:rPr>
          <w:rFonts w:ascii="黑体" w:hAnsi="黑体" w:eastAsia="黑体"/>
          <w:b/>
          <w:bCs/>
          <w:color w:val="000000"/>
          <w:sz w:val="26"/>
          <w:szCs w:val="26"/>
        </w:rPr>
      </w:pPr>
    </w:p>
    <w:p w14:paraId="5B9DADFF">
      <w:pPr>
        <w:pStyle w:val="3"/>
        <w:rPr>
          <w:rFonts w:ascii="黑体" w:hAnsi="黑体" w:eastAsia="黑体"/>
          <w:b/>
          <w:bCs/>
          <w:color w:val="000000"/>
          <w:sz w:val="26"/>
          <w:szCs w:val="26"/>
        </w:rPr>
      </w:pPr>
    </w:p>
    <w:p w14:paraId="0ACC6B14">
      <w:pPr>
        <w:pStyle w:val="3"/>
        <w:rPr>
          <w:rFonts w:ascii="黑体" w:hAnsi="黑体" w:eastAsia="黑体"/>
          <w:b/>
          <w:bCs/>
          <w:color w:val="000000"/>
          <w:sz w:val="26"/>
          <w:szCs w:val="26"/>
        </w:rPr>
      </w:pPr>
    </w:p>
    <w:p w14:paraId="04D5F811">
      <w:pPr>
        <w:pStyle w:val="3"/>
        <w:rPr>
          <w:rFonts w:ascii="黑体" w:hAnsi="黑体" w:eastAsia="黑体"/>
          <w:b/>
          <w:bCs/>
          <w:color w:val="000000"/>
          <w:sz w:val="26"/>
          <w:szCs w:val="26"/>
        </w:rPr>
      </w:pPr>
    </w:p>
    <w:p w14:paraId="12FD585C">
      <w:pPr>
        <w:pStyle w:val="3"/>
        <w:rPr>
          <w:rFonts w:ascii="黑体" w:hAnsi="黑体" w:eastAsia="黑体"/>
          <w:b/>
          <w:bCs/>
          <w:color w:val="000000"/>
          <w:sz w:val="26"/>
          <w:szCs w:val="26"/>
        </w:rPr>
      </w:pPr>
    </w:p>
    <w:p w14:paraId="50F75D8D">
      <w:pPr>
        <w:pStyle w:val="3"/>
        <w:rPr>
          <w:rFonts w:ascii="黑体" w:hAnsi="黑体" w:eastAsia="黑体"/>
          <w:b/>
          <w:bCs/>
          <w:color w:val="000000"/>
          <w:sz w:val="26"/>
          <w:szCs w:val="26"/>
        </w:rPr>
      </w:pPr>
    </w:p>
    <w:p w14:paraId="2516D530">
      <w:pPr>
        <w:pStyle w:val="3"/>
        <w:rPr>
          <w:rFonts w:ascii="黑体" w:hAnsi="黑体" w:eastAsia="黑体"/>
          <w:b/>
          <w:bCs/>
          <w:color w:val="000000"/>
          <w:sz w:val="26"/>
          <w:szCs w:val="26"/>
        </w:rPr>
      </w:pPr>
    </w:p>
    <w:p w14:paraId="1A0CD930">
      <w:pPr>
        <w:pStyle w:val="3"/>
        <w:rPr>
          <w:rFonts w:ascii="黑体" w:hAnsi="黑体" w:eastAsia="黑体"/>
          <w:b/>
          <w:bCs/>
          <w:color w:val="000000"/>
          <w:sz w:val="26"/>
          <w:szCs w:val="26"/>
        </w:rPr>
      </w:pPr>
    </w:p>
    <w:p w14:paraId="02388E1F">
      <w:pPr>
        <w:pStyle w:val="3"/>
      </w:pPr>
      <w:r>
        <w:rPr>
          <w:rFonts w:ascii="黑体" w:hAnsi="黑体" w:eastAsia="黑体"/>
          <w:b/>
          <w:bCs/>
          <w:color w:val="000000"/>
          <w:sz w:val="26"/>
          <w:szCs w:val="26"/>
        </w:rPr>
        <w:t>格式二  法定代表人身份证明</w:t>
      </w:r>
    </w:p>
    <w:p w14:paraId="598FD3A3">
      <w:pPr>
        <w:spacing w:after="80" w:line="300" w:lineRule="auto"/>
        <w:jc w:val="both"/>
      </w:pPr>
      <w:r>
        <w:rPr>
          <w:rFonts w:ascii="Times New Roman" w:hAnsi="Times New Roman" w:eastAsia="宋体"/>
          <w:sz w:val="21"/>
          <w:szCs w:val="21"/>
        </w:rPr>
        <w:t>投标人名称：                ；单位性质：                ；</w:t>
      </w:r>
    </w:p>
    <w:p w14:paraId="1FF946DA">
      <w:pPr>
        <w:spacing w:after="80" w:line="300" w:lineRule="auto"/>
        <w:jc w:val="both"/>
      </w:pPr>
      <w:r>
        <w:rPr>
          <w:rFonts w:ascii="Times New Roman" w:hAnsi="Times New Roman" w:eastAsia="宋体"/>
          <w:sz w:val="21"/>
          <w:szCs w:val="21"/>
        </w:rPr>
        <w:t>地址：                ；成立时间：    年  月  日；</w:t>
      </w:r>
    </w:p>
    <w:p w14:paraId="1938DA95">
      <w:pPr>
        <w:spacing w:after="80" w:line="300" w:lineRule="auto"/>
        <w:jc w:val="both"/>
      </w:pPr>
      <w:r>
        <w:rPr>
          <w:rFonts w:ascii="Times New Roman" w:hAnsi="Times New Roman" w:eastAsia="宋体"/>
          <w:sz w:val="21"/>
          <w:szCs w:val="21"/>
        </w:rPr>
        <w:t>姓名：        ；性别：    ；年龄：    ；职务：        ；系                （投标人名称）的法定代表人。</w:t>
      </w:r>
    </w:p>
    <w:p w14:paraId="12FE2AAF">
      <w:pPr>
        <w:spacing w:before="400"/>
        <w:jc w:val="right"/>
      </w:pPr>
      <w:r>
        <w:rPr>
          <w:rFonts w:ascii="Times New Roman" w:hAnsi="Times New Roman" w:eastAsia="宋体"/>
          <w:sz w:val="21"/>
          <w:szCs w:val="21"/>
        </w:rPr>
        <w:t>附：法定代表人身份证复印件（加盖公章）</w:t>
      </w:r>
    </w:p>
    <w:p w14:paraId="3D90937F">
      <w:pPr>
        <w:pStyle w:val="3"/>
        <w:rPr>
          <w:rFonts w:ascii="黑体" w:hAnsi="黑体" w:eastAsia="黑体"/>
          <w:b/>
          <w:bCs/>
          <w:color w:val="000000"/>
          <w:sz w:val="26"/>
          <w:szCs w:val="26"/>
        </w:rPr>
      </w:pPr>
    </w:p>
    <w:p w14:paraId="6D1C882D">
      <w:pPr>
        <w:pStyle w:val="3"/>
        <w:rPr>
          <w:rFonts w:ascii="黑体" w:hAnsi="黑体" w:eastAsia="黑体"/>
          <w:b/>
          <w:bCs/>
          <w:color w:val="000000"/>
          <w:sz w:val="26"/>
          <w:szCs w:val="26"/>
        </w:rPr>
      </w:pPr>
    </w:p>
    <w:p w14:paraId="030782B8">
      <w:pPr>
        <w:pStyle w:val="3"/>
        <w:rPr>
          <w:rFonts w:ascii="黑体" w:hAnsi="黑体" w:eastAsia="黑体"/>
          <w:b/>
          <w:bCs/>
          <w:color w:val="000000"/>
          <w:sz w:val="26"/>
          <w:szCs w:val="26"/>
        </w:rPr>
      </w:pPr>
    </w:p>
    <w:p w14:paraId="36B34201">
      <w:pPr>
        <w:pStyle w:val="3"/>
        <w:rPr>
          <w:rFonts w:ascii="黑体" w:hAnsi="黑体" w:eastAsia="黑体"/>
          <w:b/>
          <w:bCs/>
          <w:color w:val="000000"/>
          <w:sz w:val="26"/>
          <w:szCs w:val="26"/>
        </w:rPr>
      </w:pPr>
    </w:p>
    <w:p w14:paraId="5AED56B8">
      <w:pPr>
        <w:pStyle w:val="3"/>
        <w:rPr>
          <w:rFonts w:ascii="黑体" w:hAnsi="黑体" w:eastAsia="黑体"/>
          <w:b/>
          <w:bCs/>
          <w:color w:val="000000"/>
          <w:sz w:val="26"/>
          <w:szCs w:val="26"/>
        </w:rPr>
      </w:pPr>
    </w:p>
    <w:p w14:paraId="6B356C10">
      <w:pPr>
        <w:pStyle w:val="3"/>
        <w:rPr>
          <w:rFonts w:ascii="黑体" w:hAnsi="黑体" w:eastAsia="黑体"/>
          <w:b/>
          <w:bCs/>
          <w:color w:val="000000"/>
          <w:sz w:val="26"/>
          <w:szCs w:val="26"/>
        </w:rPr>
      </w:pPr>
    </w:p>
    <w:p w14:paraId="6F681348">
      <w:pPr>
        <w:pStyle w:val="3"/>
        <w:rPr>
          <w:rFonts w:ascii="黑体" w:hAnsi="黑体" w:eastAsia="黑体"/>
          <w:b/>
          <w:bCs/>
          <w:color w:val="000000"/>
          <w:sz w:val="26"/>
          <w:szCs w:val="26"/>
        </w:rPr>
      </w:pPr>
    </w:p>
    <w:p w14:paraId="415BEDE7">
      <w:pPr>
        <w:pStyle w:val="3"/>
        <w:rPr>
          <w:rFonts w:ascii="黑体" w:hAnsi="黑体" w:eastAsia="黑体"/>
          <w:b/>
          <w:bCs/>
          <w:color w:val="000000"/>
          <w:sz w:val="26"/>
          <w:szCs w:val="26"/>
        </w:rPr>
      </w:pPr>
    </w:p>
    <w:p w14:paraId="213FAD3C">
      <w:pPr>
        <w:pStyle w:val="3"/>
        <w:rPr>
          <w:rFonts w:ascii="黑体" w:hAnsi="黑体" w:eastAsia="黑体"/>
          <w:b/>
          <w:bCs/>
          <w:color w:val="000000"/>
          <w:sz w:val="26"/>
          <w:szCs w:val="26"/>
        </w:rPr>
      </w:pPr>
    </w:p>
    <w:p w14:paraId="66F9BE0A">
      <w:pPr>
        <w:pStyle w:val="3"/>
        <w:rPr>
          <w:rFonts w:ascii="黑体" w:hAnsi="黑体" w:eastAsia="黑体"/>
          <w:b/>
          <w:bCs/>
          <w:color w:val="000000"/>
          <w:sz w:val="26"/>
          <w:szCs w:val="26"/>
        </w:rPr>
      </w:pPr>
    </w:p>
    <w:p w14:paraId="007E31A5">
      <w:pPr>
        <w:pStyle w:val="3"/>
        <w:rPr>
          <w:rFonts w:ascii="黑体" w:hAnsi="黑体" w:eastAsia="黑体"/>
          <w:b/>
          <w:bCs/>
          <w:color w:val="000000"/>
          <w:sz w:val="26"/>
          <w:szCs w:val="26"/>
        </w:rPr>
      </w:pPr>
    </w:p>
    <w:p w14:paraId="304D7133">
      <w:pPr>
        <w:pStyle w:val="3"/>
        <w:rPr>
          <w:rFonts w:ascii="黑体" w:hAnsi="黑体" w:eastAsia="黑体"/>
          <w:b/>
          <w:bCs/>
          <w:color w:val="000000"/>
          <w:sz w:val="26"/>
          <w:szCs w:val="26"/>
        </w:rPr>
      </w:pPr>
    </w:p>
    <w:p w14:paraId="333C8609">
      <w:pPr>
        <w:pStyle w:val="3"/>
        <w:rPr>
          <w:rFonts w:ascii="黑体" w:hAnsi="黑体" w:eastAsia="黑体"/>
          <w:b/>
          <w:bCs/>
          <w:color w:val="000000"/>
          <w:sz w:val="26"/>
          <w:szCs w:val="26"/>
        </w:rPr>
      </w:pPr>
    </w:p>
    <w:p w14:paraId="0058654D">
      <w:pPr>
        <w:pStyle w:val="3"/>
        <w:rPr>
          <w:rFonts w:ascii="黑体" w:hAnsi="黑体" w:eastAsia="黑体"/>
          <w:b/>
          <w:bCs/>
          <w:color w:val="000000"/>
          <w:sz w:val="26"/>
          <w:szCs w:val="26"/>
        </w:rPr>
      </w:pPr>
    </w:p>
    <w:p w14:paraId="308A2E3E">
      <w:pPr>
        <w:pStyle w:val="3"/>
        <w:rPr>
          <w:rFonts w:ascii="黑体" w:hAnsi="黑体" w:eastAsia="黑体"/>
          <w:b/>
          <w:bCs/>
          <w:color w:val="000000"/>
          <w:sz w:val="26"/>
          <w:szCs w:val="26"/>
        </w:rPr>
      </w:pPr>
    </w:p>
    <w:p w14:paraId="129085A7">
      <w:pPr>
        <w:pStyle w:val="3"/>
        <w:rPr>
          <w:rFonts w:ascii="黑体" w:hAnsi="黑体" w:eastAsia="黑体"/>
          <w:b/>
          <w:bCs/>
          <w:color w:val="000000"/>
          <w:sz w:val="26"/>
          <w:szCs w:val="26"/>
        </w:rPr>
      </w:pPr>
    </w:p>
    <w:p w14:paraId="2313ECEF">
      <w:pPr>
        <w:pStyle w:val="3"/>
        <w:rPr>
          <w:rFonts w:ascii="黑体" w:hAnsi="黑体" w:eastAsia="黑体"/>
          <w:b/>
          <w:bCs/>
          <w:color w:val="000000"/>
          <w:sz w:val="26"/>
          <w:szCs w:val="26"/>
        </w:rPr>
      </w:pPr>
    </w:p>
    <w:p w14:paraId="7633A1E2">
      <w:pPr>
        <w:pStyle w:val="3"/>
        <w:rPr>
          <w:rFonts w:ascii="黑体" w:hAnsi="黑体" w:eastAsia="黑体"/>
          <w:b/>
          <w:bCs/>
          <w:color w:val="000000"/>
          <w:sz w:val="26"/>
          <w:szCs w:val="26"/>
        </w:rPr>
      </w:pPr>
    </w:p>
    <w:p w14:paraId="67B8988A">
      <w:pPr>
        <w:pStyle w:val="3"/>
        <w:rPr>
          <w:rFonts w:ascii="黑体" w:hAnsi="黑体" w:eastAsia="黑体"/>
          <w:b/>
          <w:bCs/>
          <w:color w:val="000000"/>
          <w:sz w:val="26"/>
          <w:szCs w:val="26"/>
        </w:rPr>
      </w:pPr>
    </w:p>
    <w:p w14:paraId="20720A01">
      <w:pPr>
        <w:pStyle w:val="3"/>
        <w:rPr>
          <w:rFonts w:ascii="黑体" w:hAnsi="黑体" w:eastAsia="黑体"/>
          <w:b/>
          <w:bCs/>
          <w:color w:val="000000"/>
          <w:sz w:val="26"/>
          <w:szCs w:val="26"/>
        </w:rPr>
      </w:pPr>
    </w:p>
    <w:p w14:paraId="56734ABD">
      <w:pPr>
        <w:pStyle w:val="3"/>
        <w:rPr>
          <w:rFonts w:ascii="黑体" w:hAnsi="黑体" w:eastAsia="黑体"/>
          <w:b/>
          <w:bCs/>
          <w:color w:val="000000"/>
          <w:sz w:val="26"/>
          <w:szCs w:val="26"/>
        </w:rPr>
      </w:pPr>
    </w:p>
    <w:p w14:paraId="0FC16678">
      <w:pPr>
        <w:pStyle w:val="3"/>
      </w:pPr>
      <w:r>
        <w:rPr>
          <w:rFonts w:ascii="黑体" w:hAnsi="黑体" w:eastAsia="黑体"/>
          <w:b/>
          <w:bCs/>
          <w:color w:val="000000"/>
          <w:sz w:val="26"/>
          <w:szCs w:val="26"/>
        </w:rPr>
        <w:t>格式三  授权委托书</w:t>
      </w:r>
    </w:p>
    <w:p w14:paraId="0BAED189">
      <w:pPr>
        <w:spacing w:after="80" w:line="300" w:lineRule="auto"/>
        <w:jc w:val="both"/>
      </w:pPr>
      <w:r>
        <w:rPr>
          <w:rFonts w:ascii="Times New Roman" w:hAnsi="Times New Roman" w:eastAsia="宋体"/>
          <w:sz w:val="21"/>
          <w:szCs w:val="21"/>
        </w:rPr>
        <w:t>本人            （姓名）系                （投标人名称）的法定代表人，现委托            （姓名）为我方代理人。代理人根据授权，以我方名义签署、澄清、说明、补正、递交、撤回、修改宜昌市西陵区危旧房改造项目（西陵二路35号新华印刷厂地块及珍珠路39号嘉明花园地块）玻璃门窗及栏板工程投标文件、签订合同和处理有关事宜，其法律后果由我方承担。</w:t>
      </w:r>
    </w:p>
    <w:p w14:paraId="7D4F2894">
      <w:pPr>
        <w:spacing w:after="80" w:line="300" w:lineRule="auto"/>
        <w:jc w:val="both"/>
      </w:pPr>
      <w:r>
        <w:rPr>
          <w:rFonts w:ascii="Times New Roman" w:hAnsi="Times New Roman" w:eastAsia="宋体"/>
          <w:sz w:val="21"/>
          <w:szCs w:val="21"/>
        </w:rPr>
        <w:t>委托期限：自本委托书签署之日起至投标有效期结束。</w:t>
      </w:r>
    </w:p>
    <w:p w14:paraId="4EAAD23D">
      <w:pPr>
        <w:spacing w:before="400"/>
        <w:jc w:val="right"/>
      </w:pPr>
      <w:r>
        <w:rPr>
          <w:rFonts w:ascii="Times New Roman" w:hAnsi="Times New Roman" w:eastAsia="宋体"/>
          <w:sz w:val="21"/>
          <w:szCs w:val="21"/>
        </w:rPr>
        <w:t>投标人：              （盖章）    法定代表人：              （签字）</w:t>
      </w:r>
    </w:p>
    <w:p w14:paraId="7B463A82">
      <w:pPr>
        <w:jc w:val="right"/>
      </w:pPr>
      <w:r>
        <w:rPr>
          <w:rFonts w:ascii="Times New Roman" w:hAnsi="Times New Roman" w:eastAsia="宋体"/>
          <w:sz w:val="21"/>
          <w:szCs w:val="21"/>
        </w:rPr>
        <w:t>委托代理人：              （签字）    日期：    年    月    日</w:t>
      </w:r>
    </w:p>
    <w:p w14:paraId="67EF598B">
      <w:pPr>
        <w:pStyle w:val="3"/>
        <w:rPr>
          <w:rFonts w:ascii="黑体" w:hAnsi="黑体" w:eastAsia="黑体"/>
          <w:b/>
          <w:bCs/>
          <w:color w:val="000000"/>
          <w:sz w:val="26"/>
          <w:szCs w:val="26"/>
        </w:rPr>
      </w:pPr>
    </w:p>
    <w:p w14:paraId="16D69ABA">
      <w:pPr>
        <w:pStyle w:val="3"/>
        <w:rPr>
          <w:rFonts w:ascii="黑体" w:hAnsi="黑体" w:eastAsia="黑体"/>
          <w:b/>
          <w:bCs/>
          <w:color w:val="000000"/>
          <w:sz w:val="26"/>
          <w:szCs w:val="26"/>
        </w:rPr>
      </w:pPr>
    </w:p>
    <w:p w14:paraId="67DB2A0D">
      <w:pPr>
        <w:pStyle w:val="3"/>
        <w:rPr>
          <w:rFonts w:ascii="黑体" w:hAnsi="黑体" w:eastAsia="黑体"/>
          <w:b/>
          <w:bCs/>
          <w:color w:val="000000"/>
          <w:sz w:val="26"/>
          <w:szCs w:val="26"/>
        </w:rPr>
      </w:pPr>
    </w:p>
    <w:p w14:paraId="4B5A9579">
      <w:pPr>
        <w:pStyle w:val="3"/>
        <w:rPr>
          <w:rFonts w:ascii="黑体" w:hAnsi="黑体" w:eastAsia="黑体"/>
          <w:b/>
          <w:bCs/>
          <w:color w:val="000000"/>
          <w:sz w:val="26"/>
          <w:szCs w:val="26"/>
        </w:rPr>
      </w:pPr>
    </w:p>
    <w:p w14:paraId="7C0D3F53">
      <w:pPr>
        <w:pStyle w:val="3"/>
        <w:rPr>
          <w:rFonts w:ascii="黑体" w:hAnsi="黑体" w:eastAsia="黑体"/>
          <w:b/>
          <w:bCs/>
          <w:color w:val="000000"/>
          <w:sz w:val="26"/>
          <w:szCs w:val="26"/>
        </w:rPr>
      </w:pPr>
    </w:p>
    <w:p w14:paraId="196C2479">
      <w:pPr>
        <w:pStyle w:val="3"/>
        <w:rPr>
          <w:rFonts w:ascii="黑体" w:hAnsi="黑体" w:eastAsia="黑体"/>
          <w:b/>
          <w:bCs/>
          <w:color w:val="000000"/>
          <w:sz w:val="26"/>
          <w:szCs w:val="26"/>
        </w:rPr>
      </w:pPr>
    </w:p>
    <w:p w14:paraId="15F6612F">
      <w:pPr>
        <w:pStyle w:val="3"/>
        <w:rPr>
          <w:rFonts w:ascii="黑体" w:hAnsi="黑体" w:eastAsia="黑体"/>
          <w:b/>
          <w:bCs/>
          <w:color w:val="000000"/>
          <w:sz w:val="26"/>
          <w:szCs w:val="26"/>
        </w:rPr>
      </w:pPr>
    </w:p>
    <w:p w14:paraId="7702824C">
      <w:pPr>
        <w:pStyle w:val="3"/>
        <w:rPr>
          <w:rFonts w:ascii="黑体" w:hAnsi="黑体" w:eastAsia="黑体"/>
          <w:b/>
          <w:bCs/>
          <w:color w:val="000000"/>
          <w:sz w:val="26"/>
          <w:szCs w:val="26"/>
        </w:rPr>
      </w:pPr>
    </w:p>
    <w:p w14:paraId="47DF7950">
      <w:pPr>
        <w:pStyle w:val="3"/>
        <w:rPr>
          <w:rFonts w:ascii="黑体" w:hAnsi="黑体" w:eastAsia="黑体"/>
          <w:b/>
          <w:bCs/>
          <w:color w:val="000000"/>
          <w:sz w:val="26"/>
          <w:szCs w:val="26"/>
        </w:rPr>
      </w:pPr>
    </w:p>
    <w:p w14:paraId="1ECEAA14">
      <w:pPr>
        <w:pStyle w:val="3"/>
        <w:rPr>
          <w:rFonts w:ascii="黑体" w:hAnsi="黑体" w:eastAsia="黑体"/>
          <w:b/>
          <w:bCs/>
          <w:color w:val="000000"/>
          <w:sz w:val="26"/>
          <w:szCs w:val="26"/>
        </w:rPr>
      </w:pPr>
    </w:p>
    <w:p w14:paraId="13076DEA">
      <w:pPr>
        <w:pStyle w:val="3"/>
        <w:rPr>
          <w:rFonts w:ascii="黑体" w:hAnsi="黑体" w:eastAsia="黑体"/>
          <w:b/>
          <w:bCs/>
          <w:color w:val="000000"/>
          <w:sz w:val="26"/>
          <w:szCs w:val="26"/>
        </w:rPr>
      </w:pPr>
    </w:p>
    <w:p w14:paraId="411BC959">
      <w:pPr>
        <w:pStyle w:val="3"/>
        <w:rPr>
          <w:rFonts w:ascii="黑体" w:hAnsi="黑体" w:eastAsia="黑体"/>
          <w:b/>
          <w:bCs/>
          <w:color w:val="000000"/>
          <w:sz w:val="26"/>
          <w:szCs w:val="26"/>
        </w:rPr>
      </w:pPr>
    </w:p>
    <w:p w14:paraId="269F211F">
      <w:pPr>
        <w:pStyle w:val="3"/>
        <w:rPr>
          <w:rFonts w:ascii="黑体" w:hAnsi="黑体" w:eastAsia="黑体"/>
          <w:b/>
          <w:bCs/>
          <w:color w:val="000000"/>
          <w:sz w:val="26"/>
          <w:szCs w:val="26"/>
        </w:rPr>
      </w:pPr>
    </w:p>
    <w:p w14:paraId="2F0183D2">
      <w:pPr>
        <w:pStyle w:val="3"/>
        <w:rPr>
          <w:rFonts w:ascii="黑体" w:hAnsi="黑体" w:eastAsia="黑体"/>
          <w:b/>
          <w:bCs/>
          <w:color w:val="000000"/>
          <w:sz w:val="26"/>
          <w:szCs w:val="26"/>
        </w:rPr>
      </w:pPr>
    </w:p>
    <w:p w14:paraId="247BB5C1">
      <w:pPr>
        <w:pStyle w:val="3"/>
        <w:rPr>
          <w:rFonts w:ascii="黑体" w:hAnsi="黑体" w:eastAsia="黑体"/>
          <w:b/>
          <w:bCs/>
          <w:color w:val="000000"/>
          <w:sz w:val="26"/>
          <w:szCs w:val="26"/>
        </w:rPr>
      </w:pPr>
    </w:p>
    <w:p w14:paraId="1F7F8742">
      <w:pPr>
        <w:pStyle w:val="3"/>
        <w:rPr>
          <w:rFonts w:ascii="黑体" w:hAnsi="黑体" w:eastAsia="黑体"/>
          <w:b/>
          <w:bCs/>
          <w:color w:val="000000"/>
          <w:sz w:val="26"/>
          <w:szCs w:val="26"/>
        </w:rPr>
      </w:pPr>
    </w:p>
    <w:p w14:paraId="647E7FA1">
      <w:pPr>
        <w:pStyle w:val="3"/>
        <w:rPr>
          <w:rFonts w:ascii="黑体" w:hAnsi="黑体" w:eastAsia="黑体"/>
          <w:b/>
          <w:bCs/>
          <w:color w:val="000000"/>
          <w:sz w:val="26"/>
          <w:szCs w:val="26"/>
        </w:rPr>
      </w:pPr>
    </w:p>
    <w:p w14:paraId="449D6887">
      <w:pPr>
        <w:pStyle w:val="3"/>
        <w:rPr>
          <w:rFonts w:ascii="黑体" w:hAnsi="黑体" w:eastAsia="黑体"/>
          <w:b/>
          <w:bCs/>
          <w:color w:val="000000"/>
          <w:sz w:val="26"/>
          <w:szCs w:val="26"/>
        </w:rPr>
      </w:pPr>
    </w:p>
    <w:p w14:paraId="542C458E">
      <w:pPr>
        <w:pStyle w:val="3"/>
        <w:rPr>
          <w:rFonts w:ascii="黑体" w:hAnsi="黑体" w:eastAsia="黑体"/>
          <w:b/>
          <w:bCs/>
          <w:color w:val="000000"/>
          <w:sz w:val="26"/>
          <w:szCs w:val="26"/>
        </w:rPr>
      </w:pPr>
    </w:p>
    <w:p w14:paraId="38BAA78C">
      <w:pPr>
        <w:pStyle w:val="3"/>
        <w:rPr>
          <w:rFonts w:ascii="黑体" w:hAnsi="黑体" w:eastAsia="黑体"/>
          <w:b/>
          <w:bCs/>
          <w:color w:val="000000"/>
          <w:sz w:val="26"/>
          <w:szCs w:val="26"/>
        </w:rPr>
      </w:pPr>
    </w:p>
    <w:p w14:paraId="212A9932">
      <w:pPr>
        <w:pStyle w:val="3"/>
      </w:pPr>
      <w:r>
        <w:rPr>
          <w:rFonts w:ascii="黑体" w:hAnsi="黑体" w:eastAsia="黑体"/>
          <w:b/>
          <w:bCs/>
          <w:color w:val="000000"/>
          <w:sz w:val="26"/>
          <w:szCs w:val="26"/>
        </w:rPr>
        <w:t>格式四  投标承诺书</w:t>
      </w:r>
    </w:p>
    <w:p w14:paraId="1374FF1F">
      <w:pPr>
        <w:spacing w:after="80" w:line="300" w:lineRule="auto"/>
        <w:ind w:firstLine="420"/>
        <w:jc w:val="both"/>
      </w:pPr>
      <w:r>
        <w:rPr>
          <w:rFonts w:ascii="Times New Roman" w:hAnsi="Times New Roman" w:eastAsia="宋体"/>
          <w:sz w:val="21"/>
          <w:szCs w:val="21"/>
        </w:rPr>
        <w:t>我方承诺：不串通投标、不弄虚作假、不以行贿手段谋取中标；不转包、不违法分包；投标文件所列业绩、人员、财务资料真实有效；如中标，将按投标承诺的人员、材料品牌配置组织履约，服从总包现场管理，落实安全文明施工措施。如有违反，愿承担取消中标资格、没收投标保证金、解除合同及赔偿损失等后果。</w:t>
      </w:r>
    </w:p>
    <w:p w14:paraId="552CA412">
      <w:pPr>
        <w:pStyle w:val="3"/>
        <w:rPr>
          <w:rFonts w:ascii="黑体" w:hAnsi="黑体" w:eastAsia="黑体"/>
          <w:b/>
          <w:bCs/>
          <w:color w:val="000000"/>
          <w:sz w:val="26"/>
          <w:szCs w:val="26"/>
        </w:rPr>
      </w:pPr>
    </w:p>
    <w:p w14:paraId="5DB69811">
      <w:pPr>
        <w:pStyle w:val="3"/>
        <w:rPr>
          <w:rFonts w:ascii="黑体" w:hAnsi="黑体" w:eastAsia="黑体"/>
          <w:b/>
          <w:bCs/>
          <w:color w:val="000000"/>
          <w:sz w:val="26"/>
          <w:szCs w:val="26"/>
        </w:rPr>
      </w:pPr>
    </w:p>
    <w:p w14:paraId="29867CCC">
      <w:pPr>
        <w:pStyle w:val="3"/>
        <w:rPr>
          <w:rFonts w:ascii="黑体" w:hAnsi="黑体" w:eastAsia="黑体"/>
          <w:b/>
          <w:bCs/>
          <w:color w:val="000000"/>
          <w:sz w:val="26"/>
          <w:szCs w:val="26"/>
        </w:rPr>
      </w:pPr>
    </w:p>
    <w:p w14:paraId="2F477FA6">
      <w:pPr>
        <w:pStyle w:val="3"/>
        <w:rPr>
          <w:rFonts w:ascii="黑体" w:hAnsi="黑体" w:eastAsia="黑体"/>
          <w:b/>
          <w:bCs/>
          <w:color w:val="000000"/>
          <w:sz w:val="26"/>
          <w:szCs w:val="26"/>
        </w:rPr>
      </w:pPr>
    </w:p>
    <w:p w14:paraId="5288478E">
      <w:pPr>
        <w:pStyle w:val="3"/>
        <w:rPr>
          <w:rFonts w:ascii="黑体" w:hAnsi="黑体" w:eastAsia="黑体"/>
          <w:b/>
          <w:bCs/>
          <w:color w:val="000000"/>
          <w:sz w:val="26"/>
          <w:szCs w:val="26"/>
        </w:rPr>
      </w:pPr>
    </w:p>
    <w:p w14:paraId="07DC2610">
      <w:pPr>
        <w:pStyle w:val="3"/>
        <w:rPr>
          <w:rFonts w:ascii="黑体" w:hAnsi="黑体" w:eastAsia="黑体"/>
          <w:b/>
          <w:bCs/>
          <w:color w:val="000000"/>
          <w:sz w:val="26"/>
          <w:szCs w:val="26"/>
        </w:rPr>
      </w:pPr>
    </w:p>
    <w:p w14:paraId="59185B28">
      <w:pPr>
        <w:pStyle w:val="3"/>
        <w:rPr>
          <w:rFonts w:ascii="黑体" w:hAnsi="黑体" w:eastAsia="黑体"/>
          <w:b/>
          <w:bCs/>
          <w:color w:val="000000"/>
          <w:sz w:val="26"/>
          <w:szCs w:val="26"/>
        </w:rPr>
      </w:pPr>
    </w:p>
    <w:p w14:paraId="576915B1">
      <w:pPr>
        <w:pStyle w:val="3"/>
        <w:rPr>
          <w:rFonts w:ascii="黑体" w:hAnsi="黑体" w:eastAsia="黑体"/>
          <w:b/>
          <w:bCs/>
          <w:color w:val="000000"/>
          <w:sz w:val="26"/>
          <w:szCs w:val="26"/>
        </w:rPr>
      </w:pPr>
    </w:p>
    <w:p w14:paraId="46A03326">
      <w:pPr>
        <w:pStyle w:val="3"/>
        <w:rPr>
          <w:rFonts w:ascii="黑体" w:hAnsi="黑体" w:eastAsia="黑体"/>
          <w:b/>
          <w:bCs/>
          <w:color w:val="000000"/>
          <w:sz w:val="26"/>
          <w:szCs w:val="26"/>
        </w:rPr>
      </w:pPr>
    </w:p>
    <w:p w14:paraId="6B1C6E2E">
      <w:pPr>
        <w:pStyle w:val="3"/>
        <w:rPr>
          <w:rFonts w:ascii="黑体" w:hAnsi="黑体" w:eastAsia="黑体"/>
          <w:b/>
          <w:bCs/>
          <w:color w:val="000000"/>
          <w:sz w:val="26"/>
          <w:szCs w:val="26"/>
        </w:rPr>
      </w:pPr>
    </w:p>
    <w:p w14:paraId="229B7CA2">
      <w:pPr>
        <w:pStyle w:val="3"/>
        <w:rPr>
          <w:rFonts w:ascii="黑体" w:hAnsi="黑体" w:eastAsia="黑体"/>
          <w:b/>
          <w:bCs/>
          <w:color w:val="000000"/>
          <w:sz w:val="26"/>
          <w:szCs w:val="26"/>
        </w:rPr>
      </w:pPr>
    </w:p>
    <w:p w14:paraId="77B21529">
      <w:pPr>
        <w:pStyle w:val="3"/>
        <w:rPr>
          <w:rFonts w:ascii="黑体" w:hAnsi="黑体" w:eastAsia="黑体"/>
          <w:b/>
          <w:bCs/>
          <w:color w:val="000000"/>
          <w:sz w:val="26"/>
          <w:szCs w:val="26"/>
        </w:rPr>
      </w:pPr>
    </w:p>
    <w:p w14:paraId="236EF8D9">
      <w:pPr>
        <w:pStyle w:val="3"/>
        <w:rPr>
          <w:rFonts w:ascii="黑体" w:hAnsi="黑体" w:eastAsia="黑体"/>
          <w:b/>
          <w:bCs/>
          <w:color w:val="000000"/>
          <w:sz w:val="26"/>
          <w:szCs w:val="26"/>
        </w:rPr>
      </w:pPr>
    </w:p>
    <w:p w14:paraId="76990129">
      <w:pPr>
        <w:pStyle w:val="3"/>
        <w:rPr>
          <w:rFonts w:ascii="黑体" w:hAnsi="黑体" w:eastAsia="黑体"/>
          <w:b/>
          <w:bCs/>
          <w:color w:val="000000"/>
          <w:sz w:val="26"/>
          <w:szCs w:val="26"/>
        </w:rPr>
      </w:pPr>
    </w:p>
    <w:p w14:paraId="37C14693">
      <w:pPr>
        <w:pStyle w:val="3"/>
        <w:rPr>
          <w:rFonts w:ascii="黑体" w:hAnsi="黑体" w:eastAsia="黑体"/>
          <w:b/>
          <w:bCs/>
          <w:color w:val="000000"/>
          <w:sz w:val="26"/>
          <w:szCs w:val="26"/>
        </w:rPr>
      </w:pPr>
    </w:p>
    <w:p w14:paraId="75E2C57B">
      <w:pPr>
        <w:pStyle w:val="3"/>
        <w:rPr>
          <w:rFonts w:ascii="黑体" w:hAnsi="黑体" w:eastAsia="黑体"/>
          <w:b/>
          <w:bCs/>
          <w:color w:val="000000"/>
          <w:sz w:val="26"/>
          <w:szCs w:val="26"/>
        </w:rPr>
      </w:pPr>
    </w:p>
    <w:p w14:paraId="1DFD4AEC">
      <w:pPr>
        <w:pStyle w:val="3"/>
        <w:rPr>
          <w:rFonts w:ascii="黑体" w:hAnsi="黑体" w:eastAsia="黑体"/>
          <w:b/>
          <w:bCs/>
          <w:color w:val="000000"/>
          <w:sz w:val="26"/>
          <w:szCs w:val="26"/>
        </w:rPr>
      </w:pPr>
    </w:p>
    <w:p w14:paraId="264576B4">
      <w:pPr>
        <w:pStyle w:val="3"/>
        <w:rPr>
          <w:rFonts w:ascii="黑体" w:hAnsi="黑体" w:eastAsia="黑体"/>
          <w:b/>
          <w:bCs/>
          <w:color w:val="000000"/>
          <w:sz w:val="26"/>
          <w:szCs w:val="26"/>
        </w:rPr>
      </w:pPr>
    </w:p>
    <w:p w14:paraId="6272A23A">
      <w:pPr>
        <w:pStyle w:val="3"/>
        <w:rPr>
          <w:rFonts w:ascii="黑体" w:hAnsi="黑体" w:eastAsia="黑体"/>
          <w:b/>
          <w:bCs/>
          <w:color w:val="000000"/>
          <w:sz w:val="26"/>
          <w:szCs w:val="26"/>
        </w:rPr>
      </w:pPr>
    </w:p>
    <w:p w14:paraId="1698B5EA">
      <w:pPr>
        <w:pStyle w:val="3"/>
        <w:rPr>
          <w:rFonts w:ascii="黑体" w:hAnsi="黑体" w:eastAsia="黑体"/>
          <w:b/>
          <w:bCs/>
          <w:color w:val="000000"/>
          <w:sz w:val="26"/>
          <w:szCs w:val="26"/>
        </w:rPr>
      </w:pPr>
    </w:p>
    <w:p w14:paraId="07EDD4C4">
      <w:pPr>
        <w:pStyle w:val="3"/>
        <w:rPr>
          <w:rFonts w:ascii="黑体" w:hAnsi="黑体" w:eastAsia="黑体"/>
          <w:b/>
          <w:bCs/>
          <w:color w:val="000000"/>
          <w:sz w:val="26"/>
          <w:szCs w:val="26"/>
        </w:rPr>
      </w:pPr>
    </w:p>
    <w:p w14:paraId="5F348E84">
      <w:pPr>
        <w:pStyle w:val="3"/>
        <w:rPr>
          <w:rFonts w:ascii="黑体" w:hAnsi="黑体" w:eastAsia="黑体"/>
          <w:b/>
          <w:bCs/>
          <w:color w:val="000000"/>
          <w:sz w:val="26"/>
          <w:szCs w:val="26"/>
        </w:rPr>
      </w:pPr>
    </w:p>
    <w:p w14:paraId="46677053">
      <w:pPr>
        <w:pStyle w:val="3"/>
      </w:pPr>
      <w:r>
        <w:rPr>
          <w:rFonts w:ascii="黑体" w:hAnsi="黑体" w:eastAsia="黑体"/>
          <w:b/>
          <w:bCs/>
          <w:color w:val="000000"/>
          <w:sz w:val="26"/>
          <w:szCs w:val="26"/>
        </w:rPr>
        <w:t>格式五  资格审查资料清单</w:t>
      </w:r>
    </w:p>
    <w:tbl>
      <w:tblPr>
        <w:tblStyle w:val="11"/>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4200"/>
        <w:gridCol w:w="4126"/>
      </w:tblGrid>
      <w:tr w14:paraId="7851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700" w:type="dxa"/>
            <w:tcBorders>
              <w:top w:val="single" w:color="999999" w:sz="4" w:space="0"/>
              <w:left w:val="single" w:color="999999" w:sz="4" w:space="0"/>
              <w:bottom w:val="single" w:color="999999" w:sz="4" w:space="0"/>
              <w:right w:val="single" w:color="999999" w:sz="4" w:space="0"/>
            </w:tcBorders>
            <w:shd w:val="clear" w:color="auto" w:fill="D9E2F3"/>
            <w:tcMar>
              <w:top w:w="60" w:type="dxa"/>
              <w:left w:w="100" w:type="dxa"/>
              <w:bottom w:w="60" w:type="dxa"/>
              <w:right w:w="100" w:type="dxa"/>
            </w:tcMar>
            <w:vAlign w:val="center"/>
          </w:tcPr>
          <w:p w14:paraId="73C72950">
            <w:pPr>
              <w:spacing w:line="280" w:lineRule="auto"/>
              <w:jc w:val="center"/>
            </w:pPr>
            <w:r>
              <w:rPr>
                <w:rFonts w:ascii="Times New Roman" w:hAnsi="Times New Roman" w:eastAsia="宋体"/>
                <w:b/>
                <w:bCs/>
                <w:sz w:val="18"/>
                <w:szCs w:val="18"/>
              </w:rPr>
              <w:t>序号</w:t>
            </w:r>
          </w:p>
        </w:tc>
        <w:tc>
          <w:tcPr>
            <w:tcW w:w="4200" w:type="dxa"/>
            <w:tcBorders>
              <w:top w:val="single" w:color="999999" w:sz="4" w:space="0"/>
              <w:left w:val="single" w:color="999999" w:sz="4" w:space="0"/>
              <w:bottom w:val="single" w:color="999999" w:sz="4" w:space="0"/>
              <w:right w:val="single" w:color="999999" w:sz="4" w:space="0"/>
            </w:tcBorders>
            <w:shd w:val="clear" w:color="auto" w:fill="D9E2F3"/>
            <w:tcMar>
              <w:top w:w="60" w:type="dxa"/>
              <w:left w:w="100" w:type="dxa"/>
              <w:bottom w:w="60" w:type="dxa"/>
              <w:right w:w="100" w:type="dxa"/>
            </w:tcMar>
            <w:vAlign w:val="center"/>
          </w:tcPr>
          <w:p w14:paraId="01E78E6F">
            <w:pPr>
              <w:spacing w:line="280" w:lineRule="auto"/>
              <w:jc w:val="center"/>
            </w:pPr>
            <w:r>
              <w:rPr>
                <w:rFonts w:ascii="Times New Roman" w:hAnsi="Times New Roman" w:eastAsia="宋体"/>
                <w:b/>
                <w:bCs/>
                <w:sz w:val="18"/>
                <w:szCs w:val="18"/>
              </w:rPr>
              <w:t>资料名称</w:t>
            </w:r>
          </w:p>
        </w:tc>
        <w:tc>
          <w:tcPr>
            <w:tcW w:w="4126" w:type="dxa"/>
            <w:tcBorders>
              <w:top w:val="single" w:color="999999" w:sz="4" w:space="0"/>
              <w:left w:val="single" w:color="999999" w:sz="4" w:space="0"/>
              <w:bottom w:val="single" w:color="999999" w:sz="4" w:space="0"/>
              <w:right w:val="single" w:color="999999" w:sz="4" w:space="0"/>
            </w:tcBorders>
            <w:shd w:val="clear" w:color="auto" w:fill="D9E2F3"/>
            <w:tcMar>
              <w:top w:w="60" w:type="dxa"/>
              <w:left w:w="100" w:type="dxa"/>
              <w:bottom w:w="60" w:type="dxa"/>
              <w:right w:w="100" w:type="dxa"/>
            </w:tcMar>
            <w:vAlign w:val="center"/>
          </w:tcPr>
          <w:p w14:paraId="7931CB89">
            <w:pPr>
              <w:spacing w:line="280" w:lineRule="auto"/>
              <w:jc w:val="center"/>
            </w:pPr>
            <w:r>
              <w:rPr>
                <w:rFonts w:ascii="Times New Roman" w:hAnsi="Times New Roman" w:eastAsia="宋体"/>
                <w:b/>
                <w:bCs/>
                <w:sz w:val="18"/>
                <w:szCs w:val="18"/>
              </w:rPr>
              <w:t>要求</w:t>
            </w:r>
          </w:p>
        </w:tc>
      </w:tr>
      <w:tr w14:paraId="79DE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6F422385">
            <w:pPr>
              <w:spacing w:line="280" w:lineRule="auto"/>
              <w:jc w:val="center"/>
            </w:pPr>
            <w:r>
              <w:rPr>
                <w:rFonts w:ascii="Times New Roman" w:hAnsi="Times New Roman" w:eastAsia="宋体"/>
                <w:b w:val="0"/>
                <w:bCs w:val="0"/>
                <w:sz w:val="18"/>
                <w:szCs w:val="18"/>
              </w:rPr>
              <w:t>1</w:t>
            </w:r>
          </w:p>
        </w:tc>
        <w:tc>
          <w:tcPr>
            <w:tcW w:w="4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95D4208">
            <w:pPr>
              <w:spacing w:line="280" w:lineRule="auto"/>
              <w:jc w:val="left"/>
            </w:pPr>
            <w:r>
              <w:rPr>
                <w:rFonts w:ascii="Times New Roman" w:hAnsi="Times New Roman" w:eastAsia="宋体"/>
                <w:b w:val="0"/>
                <w:bCs w:val="0"/>
                <w:sz w:val="18"/>
                <w:szCs w:val="18"/>
              </w:rPr>
              <w:t>营业执照副本</w:t>
            </w:r>
          </w:p>
        </w:tc>
        <w:tc>
          <w:tcPr>
            <w:tcW w:w="41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76B87BC">
            <w:pPr>
              <w:spacing w:line="280" w:lineRule="auto"/>
              <w:jc w:val="left"/>
            </w:pPr>
            <w:r>
              <w:rPr>
                <w:rFonts w:ascii="Times New Roman" w:hAnsi="Times New Roman" w:eastAsia="宋体"/>
                <w:b w:val="0"/>
                <w:bCs w:val="0"/>
                <w:sz w:val="18"/>
                <w:szCs w:val="18"/>
              </w:rPr>
              <w:t>复印件加盖公章</w:t>
            </w:r>
          </w:p>
        </w:tc>
      </w:tr>
      <w:tr w14:paraId="29A2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0B5C91A3">
            <w:pPr>
              <w:spacing w:line="280" w:lineRule="auto"/>
              <w:jc w:val="center"/>
            </w:pPr>
            <w:r>
              <w:rPr>
                <w:rFonts w:ascii="Times New Roman" w:hAnsi="Times New Roman" w:eastAsia="宋体"/>
                <w:b w:val="0"/>
                <w:bCs w:val="0"/>
                <w:sz w:val="18"/>
                <w:szCs w:val="18"/>
              </w:rPr>
              <w:t>2</w:t>
            </w:r>
          </w:p>
        </w:tc>
        <w:tc>
          <w:tcPr>
            <w:tcW w:w="4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0B0142E">
            <w:pPr>
              <w:spacing w:line="280" w:lineRule="auto"/>
              <w:jc w:val="left"/>
            </w:pPr>
            <w:r>
              <w:rPr>
                <w:rFonts w:ascii="Times New Roman" w:hAnsi="Times New Roman" w:eastAsia="宋体"/>
                <w:b w:val="0"/>
                <w:bCs w:val="0"/>
                <w:sz w:val="18"/>
                <w:szCs w:val="18"/>
              </w:rPr>
              <w:t>资质证书及安全生产许可证</w:t>
            </w:r>
          </w:p>
        </w:tc>
        <w:tc>
          <w:tcPr>
            <w:tcW w:w="41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F963C68">
            <w:pPr>
              <w:spacing w:line="280" w:lineRule="auto"/>
              <w:jc w:val="left"/>
            </w:pPr>
            <w:r>
              <w:rPr>
                <w:rFonts w:ascii="Times New Roman" w:hAnsi="Times New Roman" w:eastAsia="宋体"/>
                <w:b w:val="0"/>
                <w:bCs w:val="0"/>
                <w:sz w:val="18"/>
                <w:szCs w:val="18"/>
              </w:rPr>
              <w:t>幕墙专业承包贰级及以上或装修装饰专业承包贰级及以上，证照在有效期内</w:t>
            </w:r>
          </w:p>
        </w:tc>
      </w:tr>
      <w:tr w14:paraId="0DB51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F48767D">
            <w:pPr>
              <w:spacing w:line="280" w:lineRule="auto"/>
              <w:jc w:val="center"/>
            </w:pPr>
            <w:r>
              <w:rPr>
                <w:rFonts w:ascii="Times New Roman" w:hAnsi="Times New Roman" w:eastAsia="宋体"/>
                <w:b w:val="0"/>
                <w:bCs w:val="0"/>
                <w:sz w:val="18"/>
                <w:szCs w:val="18"/>
              </w:rPr>
              <w:t>3</w:t>
            </w:r>
          </w:p>
        </w:tc>
        <w:tc>
          <w:tcPr>
            <w:tcW w:w="4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4D31E9C">
            <w:pPr>
              <w:spacing w:line="280" w:lineRule="auto"/>
              <w:jc w:val="left"/>
            </w:pPr>
            <w:r>
              <w:rPr>
                <w:rFonts w:ascii="Times New Roman" w:hAnsi="Times New Roman" w:eastAsia="宋体"/>
                <w:b w:val="0"/>
                <w:bCs w:val="0"/>
                <w:sz w:val="18"/>
                <w:szCs w:val="18"/>
              </w:rPr>
              <w:t>同类工程业绩证明</w:t>
            </w:r>
          </w:p>
        </w:tc>
        <w:tc>
          <w:tcPr>
            <w:tcW w:w="41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25EABD8">
            <w:pPr>
              <w:spacing w:line="280" w:lineRule="auto"/>
              <w:jc w:val="left"/>
            </w:pPr>
            <w:r>
              <w:rPr>
                <w:rFonts w:ascii="Times New Roman" w:hAnsi="Times New Roman" w:eastAsia="宋体"/>
                <w:b w:val="0"/>
                <w:bCs w:val="0"/>
                <w:sz w:val="18"/>
                <w:szCs w:val="18"/>
              </w:rPr>
              <w:t>合同+竣工验收证明，2021年1月1日以来≥3个，单项合同100万元及以上或门窗面积5000㎡及以上</w:t>
            </w:r>
          </w:p>
        </w:tc>
      </w:tr>
      <w:tr w14:paraId="6F91A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D9E7AFD">
            <w:pPr>
              <w:spacing w:line="280" w:lineRule="auto"/>
              <w:jc w:val="center"/>
            </w:pPr>
            <w:r>
              <w:rPr>
                <w:rFonts w:ascii="Times New Roman" w:hAnsi="Times New Roman" w:eastAsia="宋体"/>
                <w:b w:val="0"/>
                <w:bCs w:val="0"/>
                <w:sz w:val="18"/>
                <w:szCs w:val="18"/>
              </w:rPr>
              <w:t>4</w:t>
            </w:r>
          </w:p>
        </w:tc>
        <w:tc>
          <w:tcPr>
            <w:tcW w:w="4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7A9E0C8E">
            <w:pPr>
              <w:spacing w:line="280" w:lineRule="auto"/>
              <w:jc w:val="left"/>
            </w:pPr>
            <w:r>
              <w:rPr>
                <w:rFonts w:ascii="Times New Roman" w:hAnsi="Times New Roman" w:eastAsia="宋体"/>
                <w:b w:val="0"/>
                <w:bCs w:val="0"/>
                <w:sz w:val="18"/>
                <w:szCs w:val="18"/>
              </w:rPr>
              <w:t>财务报表</w:t>
            </w:r>
          </w:p>
        </w:tc>
        <w:tc>
          <w:tcPr>
            <w:tcW w:w="41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3C7D9D2">
            <w:pPr>
              <w:spacing w:line="280" w:lineRule="auto"/>
              <w:jc w:val="left"/>
            </w:pPr>
            <w:r>
              <w:rPr>
                <w:rFonts w:ascii="Times New Roman" w:hAnsi="Times New Roman" w:eastAsia="宋体"/>
                <w:b w:val="0"/>
                <w:bCs w:val="0"/>
                <w:sz w:val="18"/>
                <w:szCs w:val="18"/>
              </w:rPr>
              <w:t>近三年（2023—2025年度）经审计报表</w:t>
            </w:r>
          </w:p>
        </w:tc>
      </w:tr>
      <w:tr w14:paraId="3BEA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4F9F2EA1">
            <w:pPr>
              <w:spacing w:line="280" w:lineRule="auto"/>
              <w:jc w:val="center"/>
            </w:pPr>
            <w:r>
              <w:rPr>
                <w:rFonts w:ascii="Times New Roman" w:hAnsi="Times New Roman" w:eastAsia="宋体"/>
                <w:b w:val="0"/>
                <w:bCs w:val="0"/>
                <w:sz w:val="18"/>
                <w:szCs w:val="18"/>
              </w:rPr>
              <w:t>5</w:t>
            </w:r>
          </w:p>
        </w:tc>
        <w:tc>
          <w:tcPr>
            <w:tcW w:w="4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16409A7C">
            <w:pPr>
              <w:spacing w:line="280" w:lineRule="auto"/>
              <w:jc w:val="left"/>
            </w:pPr>
            <w:r>
              <w:rPr>
                <w:rFonts w:ascii="Times New Roman" w:hAnsi="Times New Roman" w:eastAsia="宋体"/>
                <w:b w:val="0"/>
                <w:bCs w:val="0"/>
                <w:sz w:val="18"/>
                <w:szCs w:val="18"/>
              </w:rPr>
              <w:t>项目管理人员证书</w:t>
            </w:r>
          </w:p>
        </w:tc>
        <w:tc>
          <w:tcPr>
            <w:tcW w:w="41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D77B887">
            <w:pPr>
              <w:spacing w:line="280" w:lineRule="auto"/>
              <w:jc w:val="left"/>
            </w:pPr>
            <w:r>
              <w:rPr>
                <w:rFonts w:ascii="Times New Roman" w:hAnsi="Times New Roman" w:eastAsia="宋体"/>
                <w:b w:val="0"/>
                <w:bCs w:val="0"/>
                <w:sz w:val="18"/>
                <w:szCs w:val="18"/>
              </w:rPr>
              <w:t>项目负责人近3个月连续社保缴纳证明及类似工程业绩证明</w:t>
            </w:r>
          </w:p>
        </w:tc>
      </w:tr>
      <w:tr w14:paraId="6948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3D7419BC">
            <w:pPr>
              <w:spacing w:line="280" w:lineRule="auto"/>
              <w:jc w:val="center"/>
            </w:pPr>
            <w:r>
              <w:rPr>
                <w:rFonts w:ascii="Times New Roman" w:hAnsi="Times New Roman" w:eastAsia="宋体"/>
                <w:b w:val="0"/>
                <w:bCs w:val="0"/>
                <w:sz w:val="18"/>
                <w:szCs w:val="18"/>
              </w:rPr>
              <w:t>6</w:t>
            </w:r>
          </w:p>
        </w:tc>
        <w:tc>
          <w:tcPr>
            <w:tcW w:w="4200"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24CAB785">
            <w:pPr>
              <w:spacing w:line="280" w:lineRule="auto"/>
              <w:jc w:val="left"/>
            </w:pPr>
            <w:r>
              <w:rPr>
                <w:rFonts w:ascii="Times New Roman" w:hAnsi="Times New Roman" w:eastAsia="宋体"/>
                <w:b w:val="0"/>
                <w:bCs w:val="0"/>
                <w:sz w:val="18"/>
                <w:szCs w:val="18"/>
              </w:rPr>
              <w:t>信用记录</w:t>
            </w:r>
          </w:p>
        </w:tc>
        <w:tc>
          <w:tcPr>
            <w:tcW w:w="4126" w:type="dxa"/>
            <w:tcBorders>
              <w:top w:val="single" w:color="999999" w:sz="4" w:space="0"/>
              <w:left w:val="single" w:color="999999" w:sz="4" w:space="0"/>
              <w:bottom w:val="single" w:color="999999" w:sz="4" w:space="0"/>
              <w:right w:val="single" w:color="999999" w:sz="4" w:space="0"/>
            </w:tcBorders>
            <w:tcMar>
              <w:top w:w="60" w:type="dxa"/>
              <w:left w:w="100" w:type="dxa"/>
              <w:bottom w:w="60" w:type="dxa"/>
              <w:right w:w="100" w:type="dxa"/>
            </w:tcMar>
            <w:vAlign w:val="center"/>
          </w:tcPr>
          <w:p w14:paraId="5B14A166">
            <w:pPr>
              <w:spacing w:line="280" w:lineRule="auto"/>
              <w:jc w:val="left"/>
            </w:pPr>
            <w:r>
              <w:rPr>
                <w:rFonts w:ascii="Times New Roman" w:hAnsi="Times New Roman" w:eastAsia="宋体"/>
                <w:b w:val="0"/>
                <w:bCs w:val="0"/>
                <w:sz w:val="18"/>
                <w:szCs w:val="18"/>
              </w:rPr>
              <w:t>信用中国及裁判文书网查询截图（开标前30天内）</w:t>
            </w:r>
          </w:p>
        </w:tc>
      </w:tr>
    </w:tbl>
    <w:p w14:paraId="014D3729">
      <w:pPr>
        <w:spacing w:before="600"/>
      </w:pPr>
    </w:p>
    <w:p w14:paraId="16BD1CB8">
      <w:pPr>
        <w:jc w:val="center"/>
      </w:pPr>
      <w:r>
        <w:rPr>
          <w:rFonts w:ascii="黑体" w:hAnsi="黑体" w:eastAsia="黑体"/>
          <w:b/>
          <w:bCs/>
          <w:sz w:val="24"/>
          <w:szCs w:val="24"/>
        </w:rPr>
        <w:t>—— 本招标文件完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F37F">
    <w:pPr>
      <w:jc w:val="center"/>
    </w:pPr>
    <w:r>
      <w:rPr>
        <w:rFonts w:ascii="Times New Roman" w:hAnsi="Times New Roman" w:eastAsia="宋体"/>
        <w:sz w:val="18"/>
        <w:szCs w:val="18"/>
      </w:rPr>
      <w:t xml:space="preserve">第 </w:t>
    </w:r>
    <w:r>
      <w:rPr>
        <w:rFonts w:ascii="Times New Roman" w:hAnsi="Times New Roman" w:eastAsia="宋体"/>
        <w:sz w:val="18"/>
        <w:szCs w:val="18"/>
      </w:rPr>
      <w:fldChar w:fldCharType="begin"/>
    </w:r>
    <w:r>
      <w:rPr>
        <w:rFonts w:ascii="Times New Roman" w:hAnsi="Times New Roman" w:eastAsia="宋体"/>
        <w:sz w:val="18"/>
        <w:szCs w:val="18"/>
      </w:rPr>
      <w:instrText xml:space="preserve">PAGE</w:instrText>
    </w:r>
    <w:r>
      <w:rPr>
        <w:rFonts w:ascii="Times New Roman" w:hAnsi="Times New Roman" w:eastAsia="宋体"/>
        <w:sz w:val="18"/>
        <w:szCs w:val="18"/>
      </w:rPr>
      <w:fldChar w:fldCharType="separate"/>
    </w:r>
    <w:r>
      <w:rPr>
        <w:rFonts w:ascii="Times New Roman" w:hAnsi="Times New Roman" w:eastAsia="宋体"/>
        <w:sz w:val="18"/>
        <w:szCs w:val="18"/>
      </w:rPr>
      <w:fldChar w:fldCharType="end"/>
    </w:r>
    <w:r>
      <w:rPr>
        <w:rFonts w:ascii="Times New Roman" w:hAnsi="Times New Roman" w:eastAsia="宋体"/>
        <w:sz w:val="18"/>
        <w:szCs w:val="18"/>
      </w:rPr>
      <w:t xml:space="preserve"> 页 / 共 </w:t>
    </w:r>
    <w:r>
      <w:rPr>
        <w:rFonts w:ascii="Times New Roman" w:hAnsi="Times New Roman" w:eastAsia="宋体"/>
        <w:sz w:val="18"/>
        <w:szCs w:val="18"/>
      </w:rPr>
      <w:fldChar w:fldCharType="begin"/>
    </w:r>
    <w:r>
      <w:rPr>
        <w:rFonts w:ascii="Times New Roman" w:hAnsi="Times New Roman" w:eastAsia="宋体"/>
        <w:sz w:val="18"/>
        <w:szCs w:val="18"/>
      </w:rPr>
      <w:instrText xml:space="preserve">NUMPAGES</w:instrText>
    </w:r>
    <w:r>
      <w:rPr>
        <w:rFonts w:ascii="Times New Roman" w:hAnsi="Times New Roman" w:eastAsia="宋体"/>
        <w:sz w:val="18"/>
        <w:szCs w:val="18"/>
      </w:rPr>
      <w:fldChar w:fldCharType="separate"/>
    </w:r>
    <w:r>
      <w:rPr>
        <w:rFonts w:ascii="Times New Roman" w:hAnsi="Times New Roman" w:eastAsia="宋体"/>
        <w:sz w:val="18"/>
        <w:szCs w:val="18"/>
      </w:rPr>
      <w:fldChar w:fldCharType="end"/>
    </w:r>
    <w:r>
      <w:rPr>
        <w:rFonts w:ascii="Times New Roman" w:hAnsi="Times New Roman" w:eastAsia="宋体"/>
        <w:sz w:val="18"/>
        <w:szCs w:val="18"/>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6E01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0110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9819F">
    <w:pPr>
      <w:pBdr>
        <w:bottom w:val="single" w:color="2E75B6" w:sz="6" w:space="1"/>
      </w:pBdr>
      <w:jc w:val="center"/>
    </w:pPr>
    <w:r>
      <w:rPr>
        <w:rFonts w:ascii="Times New Roman" w:hAnsi="Times New Roman" w:eastAsia="宋体"/>
        <w:sz w:val="18"/>
        <w:szCs w:val="18"/>
      </w:rPr>
      <w:t>玻璃门窗及栏板工程施工专业分包招标文件（招标编号：ZB-2026-XX-MC01）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9F23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2AD9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A30C7D"/>
    <w:multiLevelType w:val="singleLevel"/>
    <w:tmpl w:val="93A30C7D"/>
    <w:lvl w:ilvl="0" w:tentative="0">
      <w:start w:val="1"/>
      <w:numFmt w:val="decimal"/>
      <w:suff w:val="space"/>
      <w:lvlText w:val="（%1）"/>
      <w:lvlJc w:val="left"/>
    </w:lvl>
  </w:abstractNum>
  <w:abstractNum w:abstractNumId="1">
    <w:nsid w:val="0053208E"/>
    <w:multiLevelType w:val="singleLevel"/>
    <w:tmpl w:val="0053208E"/>
    <w:lvl w:ilvl="0" w:tentative="0">
      <w:start w:val="1"/>
      <w:numFmt w:val="decimal"/>
      <w:lvlText w:val="（%1）"/>
      <w:lvlJc w:val="left"/>
      <w:pPr>
        <w:ind w:left="840" w:hanging="60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52571E6"/>
    <w:rsid w:val="076E4959"/>
    <w:rsid w:val="1D9F5E03"/>
    <w:rsid w:val="20EF2BFD"/>
    <w:rsid w:val="2E3B56D4"/>
    <w:rsid w:val="2F7610B9"/>
    <w:rsid w:val="338B44AC"/>
    <w:rsid w:val="366076FE"/>
    <w:rsid w:val="3D214F21"/>
    <w:rsid w:val="4E0B4C6B"/>
    <w:rsid w:val="67007170"/>
    <w:rsid w:val="6B7717A5"/>
    <w:rsid w:val="766560FC"/>
    <w:rsid w:val="7D0B65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sz w:val="21"/>
      <w:szCs w:val="21"/>
    </w:rPr>
  </w:style>
  <w:style w:type="paragraph" w:styleId="2">
    <w:name w:val="heading 1"/>
    <w:next w:val="1"/>
    <w:qFormat/>
    <w:uiPriority w:val="0"/>
    <w:pPr>
      <w:spacing w:before="300" w:after="180"/>
      <w:outlineLvl w:val="0"/>
    </w:pPr>
    <w:rPr>
      <w:rFonts w:ascii="黑体" w:hAnsi="黑体" w:eastAsia="黑体" w:cstheme="minorBidi"/>
      <w:b/>
      <w:bCs/>
      <w:color w:val="000000"/>
      <w:sz w:val="32"/>
      <w:szCs w:val="32"/>
    </w:rPr>
  </w:style>
  <w:style w:type="paragraph" w:styleId="3">
    <w:name w:val="heading 2"/>
    <w:next w:val="1"/>
    <w:qFormat/>
    <w:uiPriority w:val="0"/>
    <w:pPr>
      <w:spacing w:before="200" w:after="120"/>
      <w:outlineLvl w:val="1"/>
    </w:pPr>
    <w:rPr>
      <w:rFonts w:ascii="黑体" w:hAnsi="黑体" w:eastAsia="黑体" w:cstheme="minorBidi"/>
      <w:b/>
      <w:bCs/>
      <w:color w:val="000000"/>
      <w:sz w:val="26"/>
      <w:szCs w:val="26"/>
    </w:rPr>
  </w:style>
  <w:style w:type="paragraph" w:styleId="4">
    <w:name w:val="heading 3"/>
    <w:next w:val="1"/>
    <w:qFormat/>
    <w:uiPriority w:val="0"/>
    <w:pPr>
      <w:spacing w:before="160" w:after="100"/>
      <w:outlineLvl w:val="2"/>
    </w:pPr>
    <w:rPr>
      <w:rFonts w:ascii="黑体" w:hAnsi="黑体" w:eastAsia="黑体" w:cstheme="minorBidi"/>
      <w:b/>
      <w:bCs/>
      <w:color w:val="000000"/>
      <w:sz w:val="22"/>
      <w:szCs w:val="22"/>
    </w:rPr>
  </w:style>
  <w:style w:type="paragraph" w:styleId="5">
    <w:name w:val="heading 4"/>
    <w:next w:val="1"/>
    <w:qFormat/>
    <w:uiPriority w:val="0"/>
    <w:rPr>
      <w:rFonts w:ascii="Times New Roman" w:hAnsi="Times New Roman" w:eastAsia="宋体" w:cstheme="minorBidi"/>
      <w:i/>
      <w:iCs/>
      <w:color w:val="2E74B5"/>
      <w:sz w:val="21"/>
      <w:szCs w:val="21"/>
    </w:rPr>
  </w:style>
  <w:style w:type="paragraph" w:styleId="6">
    <w:name w:val="heading 5"/>
    <w:next w:val="1"/>
    <w:qFormat/>
    <w:uiPriority w:val="0"/>
    <w:rPr>
      <w:rFonts w:ascii="Times New Roman" w:hAnsi="Times New Roman" w:eastAsia="宋体" w:cstheme="minorBidi"/>
      <w:color w:val="2E74B5"/>
      <w:sz w:val="21"/>
      <w:szCs w:val="21"/>
    </w:rPr>
  </w:style>
  <w:style w:type="paragraph" w:styleId="7">
    <w:name w:val="heading 6"/>
    <w:next w:val="1"/>
    <w:qFormat/>
    <w:uiPriority w:val="0"/>
    <w:rPr>
      <w:rFonts w:ascii="Times New Roman" w:hAnsi="Times New Roman" w:eastAsia="宋体" w:cstheme="minorBidi"/>
      <w:color w:val="1F4D78"/>
      <w:sz w:val="21"/>
      <w:szCs w:val="21"/>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9"/>
    <w:semiHidden/>
    <w:unhideWhenUsed/>
    <w:qFormat/>
    <w:uiPriority w:val="99"/>
    <w:pPr>
      <w:spacing w:after="0" w:line="240" w:lineRule="auto"/>
    </w:pPr>
    <w:rPr>
      <w:rFonts w:ascii="Times New Roman" w:hAnsi="Times New Roman" w:eastAsia="宋体" w:cstheme="minorBidi"/>
      <w:sz w:val="20"/>
      <w:szCs w:val="20"/>
    </w:rPr>
  </w:style>
  <w:style w:type="paragraph" w:styleId="9">
    <w:name w:val="footnote text"/>
    <w:link w:val="18"/>
    <w:semiHidden/>
    <w:unhideWhenUsed/>
    <w:qFormat/>
    <w:uiPriority w:val="99"/>
    <w:pPr>
      <w:spacing w:after="0" w:line="240" w:lineRule="auto"/>
    </w:pPr>
    <w:rPr>
      <w:rFonts w:ascii="Times New Roman" w:hAnsi="Times New Roman" w:eastAsia="宋体" w:cstheme="minorBidi"/>
      <w:sz w:val="20"/>
      <w:szCs w:val="20"/>
    </w:rPr>
  </w:style>
  <w:style w:type="paragraph" w:styleId="10">
    <w:name w:val="Title"/>
    <w:qFormat/>
    <w:uiPriority w:val="0"/>
    <w:rPr>
      <w:rFonts w:ascii="Times New Roman" w:hAnsi="Times New Roman" w:eastAsia="宋体" w:cstheme="minorBidi"/>
      <w:sz w:val="56"/>
      <w:szCs w:val="56"/>
    </w:rPr>
  </w:style>
  <w:style w:type="character" w:styleId="13">
    <w:name w:val="Strong"/>
    <w:basedOn w:val="12"/>
    <w:qFormat/>
    <w:uiPriority w:val="0"/>
    <w:rPr>
      <w:b/>
    </w:rPr>
  </w:style>
  <w:style w:type="character" w:styleId="14">
    <w:name w:val="endnote reference"/>
    <w:semiHidden/>
    <w:unhideWhenUsed/>
    <w:qFormat/>
    <w:uiPriority w:val="99"/>
    <w:rPr>
      <w:vertAlign w:val="superscript"/>
    </w:rPr>
  </w:style>
  <w:style w:type="character" w:styleId="15">
    <w:name w:val="Hyperlink"/>
    <w:unhideWhenUsed/>
    <w:qFormat/>
    <w:uiPriority w:val="99"/>
    <w:rPr>
      <w:color w:val="0563C1"/>
      <w:u w:val="single"/>
    </w:rPr>
  </w:style>
  <w:style w:type="character" w:styleId="16">
    <w:name w:val="footnote reference"/>
    <w:semiHidden/>
    <w:unhideWhenUsed/>
    <w:qFormat/>
    <w:uiPriority w:val="99"/>
    <w:rPr>
      <w:vertAlign w:val="superscript"/>
    </w:rPr>
  </w:style>
  <w:style w:type="paragraph" w:styleId="17">
    <w:name w:val="List Paragraph"/>
    <w:qFormat/>
    <w:uiPriority w:val="0"/>
    <w:rPr>
      <w:rFonts w:ascii="Times New Roman" w:hAnsi="Times New Roman" w:eastAsia="宋体" w:cstheme="minorBidi"/>
      <w:sz w:val="21"/>
      <w:szCs w:val="21"/>
    </w:rPr>
  </w:style>
  <w:style w:type="character" w:customStyle="1" w:styleId="18">
    <w:name w:val="Footnote Text Char"/>
    <w:link w:val="9"/>
    <w:semiHidden/>
    <w:unhideWhenUsed/>
    <w:qFormat/>
    <w:uiPriority w:val="99"/>
    <w:rPr>
      <w:sz w:val="20"/>
      <w:szCs w:val="20"/>
    </w:rPr>
  </w:style>
  <w:style w:type="character" w:customStyle="1" w:styleId="19">
    <w:name w:val="Endnote Text Char"/>
    <w:link w:val="8"/>
    <w:semiHidden/>
    <w:unhideWhenUsed/>
    <w:qFormat/>
    <w:uiPriority w:val="99"/>
    <w:rPr>
      <w:sz w:val="20"/>
      <w:szCs w:val="20"/>
    </w:rPr>
  </w:style>
  <w:style w:type="paragraph" w:customStyle="1" w:styleId="20">
    <w:name w:val="正文_23"/>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22</Pages>
  <Words>6592</Words>
  <Characters>7201</Characters>
  <TotalTime>11</TotalTime>
  <ScaleCrop>false</ScaleCrop>
  <LinksUpToDate>false</LinksUpToDate>
  <CharactersWithSpaces>7498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2026-09-01T01:17:00Z</dcterms:created>
  <dc:creator>Un-named</dc:creator>
  <cp:lastModifiedBy>春隆</cp:lastModifiedBy>
  <dcterms:modified xsi:type="dcterms:W3CDTF">2026-10-23T03:17:15Z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eyJoZGlkIjoiZmJjYjgyYjA2MGJkZTg0NjhkNTljNTQ2MWM2MDYzM2IiLCJ1c2VySWQiOiI4MjAzMDIwODAifQ==</vt:lpwstr>
  </property>
  <property fmtid="{D5CDD505-2E9C-101B-9397-08002B2CF9AE}" pid="3" name="KSOProductBuildVer">
    <vt:lpwstr>2052-12.1.0.29161</vt:lpwstr>
  </property>
  <property fmtid="{D5CDD505-2E9C-101B-9397-08002B2CF9AE}" pid="4" name="ICV">
    <vt:lpwstr>DD476DDF87CA43BFADF6673DA1209BF6_13</vt:lpwstr>
  </property>
</Properties>
</file>